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72AD" w14:textId="4617BDE5" w:rsidR="00227FED" w:rsidRPr="000638B9" w:rsidRDefault="006666D5" w:rsidP="00227FED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72156685"/>
      <w:bookmarkStart w:id="1" w:name="_Hlk72317176"/>
      <w:r w:rsidRPr="000638B9">
        <w:rPr>
          <w:rFonts w:ascii="Arial" w:hAnsi="Arial" w:cs="Arial"/>
          <w:b/>
          <w:bCs/>
          <w:color w:val="000000" w:themeColor="text1"/>
        </w:rPr>
        <w:t>Título del manuscrito en español</w:t>
      </w:r>
    </w:p>
    <w:p w14:paraId="4DEEA303" w14:textId="5D82205A" w:rsidR="006666D5" w:rsidRDefault="006666D5" w:rsidP="006666D5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638B9">
        <w:rPr>
          <w:rFonts w:ascii="Arial" w:hAnsi="Arial" w:cs="Arial"/>
          <w:b/>
          <w:bCs/>
          <w:color w:val="000000" w:themeColor="text1"/>
        </w:rPr>
        <w:t>Título del manuscrito en inglés</w:t>
      </w:r>
    </w:p>
    <w:p w14:paraId="642013AE" w14:textId="2C0D157B" w:rsidR="0006380E" w:rsidRPr="00687DDB" w:rsidRDefault="00030DDB" w:rsidP="0006380E">
      <w:pPr>
        <w:rPr>
          <w:rFonts w:ascii="Arial" w:hAnsi="Arial" w:cs="Arial"/>
          <w:color w:val="000000" w:themeColor="text1"/>
          <w:sz w:val="18"/>
          <w:szCs w:val="18"/>
        </w:rPr>
      </w:pPr>
      <w:r w:rsidRPr="00687DDB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="00687DDB" w:rsidRPr="00687DDB">
        <w:rPr>
          <w:rFonts w:ascii="Arial" w:hAnsi="Arial" w:cs="Arial"/>
          <w:color w:val="000000" w:themeColor="text1"/>
          <w:sz w:val="18"/>
          <w:szCs w:val="18"/>
        </w:rPr>
        <w:t>Para facilitar el proceso de revisión, t</w:t>
      </w:r>
      <w:r w:rsidRPr="00687DDB">
        <w:rPr>
          <w:rFonts w:ascii="Arial" w:hAnsi="Arial" w:cs="Arial"/>
          <w:color w:val="000000" w:themeColor="text1"/>
          <w:sz w:val="18"/>
          <w:szCs w:val="18"/>
        </w:rPr>
        <w:t xml:space="preserve">odas las líneas deben ser </w:t>
      </w:r>
      <w:r w:rsidR="001702E4" w:rsidRPr="00687DDB">
        <w:rPr>
          <w:rFonts w:ascii="Arial" w:hAnsi="Arial" w:cs="Arial"/>
          <w:color w:val="000000" w:themeColor="text1"/>
          <w:sz w:val="18"/>
          <w:szCs w:val="18"/>
        </w:rPr>
        <w:t>numeradas de manera consecutiva</w:t>
      </w:r>
      <w:r w:rsidRPr="00687DDB">
        <w:rPr>
          <w:rFonts w:ascii="Arial" w:hAnsi="Arial" w:cs="Arial"/>
          <w:color w:val="000000" w:themeColor="text1"/>
          <w:sz w:val="18"/>
          <w:szCs w:val="18"/>
        </w:rPr>
        <w:t xml:space="preserve"> en el documento</w:t>
      </w:r>
      <w:r w:rsidR="001702E4" w:rsidRPr="00687DD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87DDB">
        <w:rPr>
          <w:rFonts w:ascii="Arial" w:hAnsi="Arial" w:cs="Arial"/>
          <w:color w:val="000000" w:themeColor="text1"/>
          <w:sz w:val="18"/>
          <w:szCs w:val="18"/>
        </w:rPr>
        <w:t xml:space="preserve"> Las páginas deben estar numeradas en la esquina inferior derecha.</w:t>
      </w:r>
    </w:p>
    <w:bookmarkEnd w:id="1"/>
    <w:p w14:paraId="18308FEB" w14:textId="77777777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0638B9">
        <w:rPr>
          <w:rFonts w:ascii="Arial" w:hAnsi="Arial" w:cs="Arial"/>
          <w:b/>
          <w:bCs/>
          <w:sz w:val="20"/>
          <w:szCs w:val="20"/>
          <w:lang w:val="es-CR"/>
        </w:rPr>
        <w:t>Resumen</w:t>
      </w:r>
    </w:p>
    <w:p w14:paraId="1A0DE4AB" w14:textId="3B328AF0" w:rsidR="00227FED" w:rsidRPr="000638B9" w:rsidRDefault="00AE2F07" w:rsidP="00AE2F0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>Debe describir de forma breve el objetivo del estudio, sus principales resultados y conclusiones. El resumen debe ser fácilmente comprensible para todos los lectores de la revista, incluso para los no especialistas y no debe exceder de 250 palabras. No debe incluir citas bibliográficas ni siglas.</w:t>
      </w:r>
    </w:p>
    <w:p w14:paraId="220A33BD" w14:textId="2FC5A203" w:rsidR="00227FED" w:rsidRPr="000638B9" w:rsidRDefault="00227FED" w:rsidP="00227FED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>Palabras clave:</w:t>
      </w:r>
      <w:r w:rsidRPr="000638B9">
        <w:rPr>
          <w:rFonts w:ascii="Arial" w:hAnsi="Arial" w:cs="Arial"/>
          <w:sz w:val="20"/>
          <w:szCs w:val="20"/>
        </w:rPr>
        <w:t xml:space="preserve"> </w:t>
      </w:r>
      <w:r w:rsidR="0064546B" w:rsidRPr="000638B9">
        <w:rPr>
          <w:rFonts w:ascii="Arial" w:hAnsi="Arial" w:cs="Arial"/>
          <w:sz w:val="20"/>
          <w:szCs w:val="20"/>
        </w:rPr>
        <w:t>palabra1</w:t>
      </w:r>
      <w:r w:rsidRPr="000638B9">
        <w:rPr>
          <w:rFonts w:ascii="Arial" w:hAnsi="Arial" w:cs="Arial"/>
          <w:sz w:val="20"/>
          <w:szCs w:val="20"/>
        </w:rPr>
        <w:t xml:space="preserve">, </w:t>
      </w:r>
      <w:r w:rsidR="0064546B" w:rsidRPr="000638B9">
        <w:rPr>
          <w:rFonts w:ascii="Arial" w:hAnsi="Arial" w:cs="Arial"/>
          <w:sz w:val="20"/>
          <w:szCs w:val="20"/>
        </w:rPr>
        <w:t>palabra2</w:t>
      </w:r>
      <w:r w:rsidRPr="000638B9">
        <w:rPr>
          <w:rFonts w:ascii="Arial" w:hAnsi="Arial" w:cs="Arial"/>
          <w:sz w:val="20"/>
          <w:szCs w:val="20"/>
        </w:rPr>
        <w:t xml:space="preserve">, </w:t>
      </w:r>
      <w:r w:rsidR="0064546B" w:rsidRPr="000638B9">
        <w:rPr>
          <w:rFonts w:ascii="Arial" w:hAnsi="Arial" w:cs="Arial"/>
          <w:sz w:val="20"/>
          <w:szCs w:val="20"/>
        </w:rPr>
        <w:t>palabra3</w:t>
      </w:r>
      <w:r w:rsidRPr="000638B9">
        <w:rPr>
          <w:rFonts w:ascii="Arial" w:hAnsi="Arial" w:cs="Arial"/>
          <w:sz w:val="20"/>
          <w:szCs w:val="20"/>
        </w:rPr>
        <w:t xml:space="preserve">, </w:t>
      </w:r>
      <w:r w:rsidR="0064546B" w:rsidRPr="000638B9">
        <w:rPr>
          <w:rFonts w:ascii="Arial" w:hAnsi="Arial" w:cs="Arial"/>
          <w:sz w:val="20"/>
          <w:szCs w:val="20"/>
        </w:rPr>
        <w:t>palabra4</w:t>
      </w:r>
      <w:r w:rsidRPr="000638B9">
        <w:rPr>
          <w:rFonts w:ascii="Arial" w:hAnsi="Arial" w:cs="Arial"/>
          <w:sz w:val="20"/>
          <w:szCs w:val="20"/>
        </w:rPr>
        <w:t xml:space="preserve">, </w:t>
      </w:r>
      <w:r w:rsidR="0064546B" w:rsidRPr="000638B9">
        <w:rPr>
          <w:rFonts w:ascii="Arial" w:hAnsi="Arial" w:cs="Arial"/>
          <w:sz w:val="20"/>
          <w:szCs w:val="20"/>
        </w:rPr>
        <w:t>palabra5</w:t>
      </w:r>
      <w:r w:rsidRPr="000638B9">
        <w:rPr>
          <w:rFonts w:ascii="Arial" w:hAnsi="Arial" w:cs="Arial"/>
          <w:sz w:val="20"/>
          <w:szCs w:val="20"/>
        </w:rPr>
        <w:t>.</w:t>
      </w:r>
    </w:p>
    <w:p w14:paraId="7C6F954D" w14:textId="77777777" w:rsidR="00227FED" w:rsidRPr="00E03649" w:rsidRDefault="00227FED" w:rsidP="00227FED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proofErr w:type="spellStart"/>
      <w:r w:rsidRPr="00E03649">
        <w:rPr>
          <w:rFonts w:ascii="Arial" w:hAnsi="Arial" w:cs="Arial"/>
          <w:b/>
          <w:bCs/>
          <w:sz w:val="20"/>
          <w:szCs w:val="20"/>
          <w:lang w:val="es-EC"/>
        </w:rPr>
        <w:t>Abstract</w:t>
      </w:r>
      <w:proofErr w:type="spellEnd"/>
      <w:r w:rsidRPr="00E03649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</w:p>
    <w:p w14:paraId="5FBF9B4A" w14:textId="3FDE3247" w:rsidR="00227FED" w:rsidRPr="000638B9" w:rsidRDefault="007965DB" w:rsidP="00227FED">
      <w:pPr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  <w:lang w:val="es-EC"/>
        </w:rPr>
        <w:t>Debe reflejar fielmente el contenido del resumen en inglés técnico-científico</w:t>
      </w:r>
      <w:r w:rsidR="00227FED" w:rsidRPr="000638B9">
        <w:rPr>
          <w:rFonts w:ascii="Arial" w:hAnsi="Arial" w:cs="Arial"/>
          <w:sz w:val="20"/>
          <w:szCs w:val="20"/>
          <w:lang w:val="es-EC"/>
        </w:rPr>
        <w:t>.</w:t>
      </w:r>
    </w:p>
    <w:p w14:paraId="54B54A83" w14:textId="1F1A4545" w:rsidR="00227FED" w:rsidRPr="000638B9" w:rsidRDefault="00227FED" w:rsidP="00227F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38B9">
        <w:rPr>
          <w:rFonts w:ascii="Arial" w:hAnsi="Arial" w:cs="Arial"/>
          <w:b/>
          <w:bCs/>
          <w:sz w:val="20"/>
          <w:szCs w:val="20"/>
          <w:lang w:val="en-US"/>
        </w:rPr>
        <w:t>Keywords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:  </w:t>
      </w:r>
      <w:r w:rsidR="007965DB" w:rsidRPr="000638B9">
        <w:rPr>
          <w:rFonts w:ascii="Arial" w:hAnsi="Arial" w:cs="Arial"/>
          <w:sz w:val="20"/>
          <w:szCs w:val="20"/>
          <w:lang w:val="en-US"/>
        </w:rPr>
        <w:t>word1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, </w:t>
      </w:r>
      <w:r w:rsidR="007965DB" w:rsidRPr="000638B9">
        <w:rPr>
          <w:rFonts w:ascii="Arial" w:hAnsi="Arial" w:cs="Arial"/>
          <w:sz w:val="20"/>
          <w:szCs w:val="20"/>
          <w:lang w:val="en-US"/>
        </w:rPr>
        <w:t>word2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, </w:t>
      </w:r>
      <w:r w:rsidR="007965DB" w:rsidRPr="000638B9">
        <w:rPr>
          <w:rFonts w:ascii="Arial" w:hAnsi="Arial" w:cs="Arial"/>
          <w:sz w:val="20"/>
          <w:szCs w:val="20"/>
          <w:lang w:val="en-US"/>
        </w:rPr>
        <w:t>word3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, </w:t>
      </w:r>
      <w:r w:rsidR="007965DB" w:rsidRPr="000638B9">
        <w:rPr>
          <w:rFonts w:ascii="Arial" w:hAnsi="Arial" w:cs="Arial"/>
          <w:sz w:val="20"/>
          <w:szCs w:val="20"/>
          <w:lang w:val="en-US"/>
        </w:rPr>
        <w:t>word4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, </w:t>
      </w:r>
      <w:r w:rsidR="007965DB" w:rsidRPr="000638B9">
        <w:rPr>
          <w:rFonts w:ascii="Arial" w:hAnsi="Arial" w:cs="Arial"/>
          <w:sz w:val="20"/>
          <w:szCs w:val="20"/>
          <w:lang w:val="en-US"/>
        </w:rPr>
        <w:t>word5</w:t>
      </w:r>
      <w:r w:rsidRPr="000638B9">
        <w:rPr>
          <w:rFonts w:ascii="Arial" w:hAnsi="Arial" w:cs="Arial"/>
          <w:sz w:val="20"/>
          <w:szCs w:val="20"/>
          <w:lang w:val="en-US"/>
        </w:rPr>
        <w:t>.</w:t>
      </w:r>
    </w:p>
    <w:bookmarkEnd w:id="0"/>
    <w:p w14:paraId="49F85B41" w14:textId="77777777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 xml:space="preserve">1. Introducción </w:t>
      </w:r>
    </w:p>
    <w:p w14:paraId="2D737559" w14:textId="77777777" w:rsidR="00886A40" w:rsidRPr="000638B9" w:rsidRDefault="00B30DB2" w:rsidP="00886A40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Debe reflejar el problema de investigación y el contexto en el que ocurre (fundamentación teórica)</w:t>
      </w:r>
      <w:r w:rsidR="00886A40" w:rsidRPr="000638B9">
        <w:rPr>
          <w:rFonts w:ascii="Arial" w:hAnsi="Arial" w:cs="Arial"/>
          <w:sz w:val="20"/>
          <w:szCs w:val="20"/>
        </w:rPr>
        <w:t>, justificar la investigación enfatizando las razones que la motivaron; y, plantear los objetivos y las hipótesis de estudio de ser el caso.</w:t>
      </w:r>
    </w:p>
    <w:p w14:paraId="57D1BA62" w14:textId="419FE07A" w:rsidR="00227FED" w:rsidRPr="000638B9" w:rsidRDefault="00886A40" w:rsidP="00886A40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Esta sección debería terminar con un breve enunciado de lo conseguido a través del estudio.</w:t>
      </w:r>
    </w:p>
    <w:p w14:paraId="645E32A8" w14:textId="0BF1BC42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 xml:space="preserve">2. Materiales y </w:t>
      </w:r>
      <w:r w:rsidR="00385A71">
        <w:rPr>
          <w:rFonts w:ascii="Arial" w:hAnsi="Arial" w:cs="Arial"/>
          <w:b/>
          <w:bCs/>
          <w:sz w:val="20"/>
          <w:szCs w:val="20"/>
        </w:rPr>
        <w:t>M</w:t>
      </w:r>
      <w:r w:rsidRPr="000638B9">
        <w:rPr>
          <w:rFonts w:ascii="Arial" w:hAnsi="Arial" w:cs="Arial"/>
          <w:b/>
          <w:bCs/>
          <w:sz w:val="20"/>
          <w:szCs w:val="20"/>
        </w:rPr>
        <w:t>étodos</w:t>
      </w:r>
    </w:p>
    <w:p w14:paraId="7386D351" w14:textId="77777777" w:rsidR="00E667E9" w:rsidRPr="000638B9" w:rsidRDefault="00886A40" w:rsidP="00886A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>Esta sección debe iniciar con una descripción pertinente del área de estudio.</w:t>
      </w:r>
      <w:r w:rsidR="00E667E9" w:rsidRPr="000638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Se explica brevemente los materiales y métodos utilizados durante la parte experimental o la fase de campo/laboratorio del estudio. </w:t>
      </w:r>
    </w:p>
    <w:p w14:paraId="0CCA4E8C" w14:textId="128E2DFC" w:rsidR="00227FED" w:rsidRPr="000638B9" w:rsidRDefault="00886A40" w:rsidP="00886A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Los materiales utilizados y su uso se incluyen en el texto. ¡¡No se debe crear una lista de </w:t>
      </w:r>
      <w:proofErr w:type="gramStart"/>
      <w:r w:rsidRPr="000638B9">
        <w:rPr>
          <w:rFonts w:ascii="Arial" w:hAnsi="Arial" w:cs="Arial"/>
          <w:color w:val="000000" w:themeColor="text1"/>
          <w:sz w:val="20"/>
          <w:szCs w:val="20"/>
        </w:rPr>
        <w:t>materiales!!</w:t>
      </w:r>
      <w:r w:rsidR="00227FED" w:rsidRPr="000638B9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227FED" w:rsidRPr="000638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3D13E2" w14:textId="7874F7E1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 xml:space="preserve">3. Resultados y </w:t>
      </w:r>
      <w:r w:rsidR="008721DB">
        <w:rPr>
          <w:rFonts w:ascii="Arial" w:hAnsi="Arial" w:cs="Arial"/>
          <w:b/>
          <w:bCs/>
          <w:sz w:val="20"/>
          <w:szCs w:val="20"/>
        </w:rPr>
        <w:t>D</w:t>
      </w:r>
      <w:r w:rsidRPr="000638B9">
        <w:rPr>
          <w:rFonts w:ascii="Arial" w:hAnsi="Arial" w:cs="Arial"/>
          <w:b/>
          <w:bCs/>
          <w:sz w:val="20"/>
          <w:szCs w:val="20"/>
        </w:rPr>
        <w:t>iscusión</w:t>
      </w:r>
    </w:p>
    <w:p w14:paraId="05307669" w14:textId="2C55BC61" w:rsidR="00227FED" w:rsidRPr="000638B9" w:rsidRDefault="00227FED" w:rsidP="00227FED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3.1. </w:t>
      </w:r>
      <w:r w:rsidR="00886A40"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Opciones</w:t>
      </w:r>
    </w:p>
    <w:p w14:paraId="2F3B3B30" w14:textId="7EC18957" w:rsidR="00227FED" w:rsidRPr="000638B9" w:rsidRDefault="00886A40" w:rsidP="00227FED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Los resultados se pueden presentar solos o combinados con la discusión (Resultados y Discusión)</w:t>
      </w:r>
      <w:r w:rsidR="00227FED" w:rsidRPr="000638B9">
        <w:rPr>
          <w:rFonts w:ascii="Arial" w:hAnsi="Arial" w:cs="Arial"/>
          <w:sz w:val="20"/>
          <w:szCs w:val="20"/>
        </w:rPr>
        <w:t xml:space="preserve">. </w:t>
      </w:r>
    </w:p>
    <w:p w14:paraId="33114A38" w14:textId="366EF69E" w:rsidR="00227FED" w:rsidRPr="000638B9" w:rsidRDefault="00227FED" w:rsidP="00227FED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3.2. </w:t>
      </w:r>
      <w:r w:rsidR="00886A40"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Resultados</w:t>
      </w:r>
    </w:p>
    <w:p w14:paraId="1339673F" w14:textId="00E413A3" w:rsidR="00886A40" w:rsidRDefault="00886A40" w:rsidP="00886A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72238696"/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Esta sección debe hacer uso efectivo de Tablas y Figuras para explicar los resultados. Las Tablas y Figuras deben ir numeradas con números arábigos y ser referenciadas en el texto. </w:t>
      </w:r>
    </w:p>
    <w:p w14:paraId="48D1F70E" w14:textId="5C566460" w:rsidR="005D06C1" w:rsidRPr="000638B9" w:rsidRDefault="005D06C1" w:rsidP="00886A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 el manuscrito está escrito en español se utilizarán comas (,) para decimales y punto (.) para miles. Por el contrario, si el manuscrito está escrito en inglés, se utilizarán</w:t>
      </w:r>
      <w:r w:rsidRPr="005D06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punto (.) para decimales y comas (,) para miles.</w:t>
      </w:r>
    </w:p>
    <w:p w14:paraId="2789C8DB" w14:textId="323E9A8B" w:rsidR="00886A40" w:rsidRPr="000638B9" w:rsidRDefault="00886A40" w:rsidP="00886A40">
      <w:pPr>
        <w:ind w:left="360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3.2. Discusión</w:t>
      </w:r>
    </w:p>
    <w:p w14:paraId="1269BB29" w14:textId="4298FF27" w:rsidR="002A4ADF" w:rsidRDefault="00886A40" w:rsidP="002A4A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En la sección de Discusión el autor debe enfatizar sobre la importancia de los resultados, situándolos en el contexto de estudios previos. Esta sección deberá concluir con una explicación clara </w:t>
      </w:r>
      <w:r w:rsidR="00E03649" w:rsidRPr="00E03649">
        <w:rPr>
          <w:rFonts w:ascii="Arial" w:hAnsi="Arial" w:cs="Arial"/>
          <w:color w:val="000000" w:themeColor="text1"/>
          <w:sz w:val="20"/>
          <w:szCs w:val="20"/>
        </w:rPr>
        <w:t>y convincente de los resultados desde una perspectiva de su uso práctico.</w:t>
      </w:r>
    </w:p>
    <w:p w14:paraId="35F818D5" w14:textId="2D3AD908" w:rsidR="00E667E9" w:rsidRPr="000638B9" w:rsidRDefault="00E667E9" w:rsidP="00E667E9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3.3. Tablas y Figuras</w:t>
      </w:r>
    </w:p>
    <w:p w14:paraId="5352D69F" w14:textId="1C6B74BF" w:rsidR="00E667E9" w:rsidRPr="000638B9" w:rsidRDefault="00E667E9" w:rsidP="00E667E9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0638B9">
        <w:rPr>
          <w:rFonts w:ascii="Arial" w:hAnsi="Arial" w:cs="Arial"/>
          <w:i/>
          <w:iCs/>
          <w:color w:val="000000" w:themeColor="text1"/>
          <w:sz w:val="20"/>
          <w:szCs w:val="20"/>
        </w:rPr>
        <w:t>3.3.1. Tablas</w:t>
      </w:r>
    </w:p>
    <w:p w14:paraId="2C007305" w14:textId="77777777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lastRenderedPageBreak/>
        <w:t>Las Tablas deben ser situadas dentro del texto en un pasaje apropiado, deben ser ubicadas consecutivamente en el texto y numeradas con arábigos (Tabla 1, Tabla 2, etc.).</w:t>
      </w:r>
    </w:p>
    <w:p w14:paraId="284957D1" w14:textId="08AA7C10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Los encabezados de cada Tabla deben ser concisos y reflejar el contenido de </w:t>
      </w:r>
      <w:proofErr w:type="gramStart"/>
      <w:r w:rsidRPr="000638B9">
        <w:rPr>
          <w:rFonts w:ascii="Arial" w:hAnsi="Arial" w:cs="Arial"/>
          <w:color w:val="000000" w:themeColor="text1"/>
          <w:sz w:val="20"/>
          <w:szCs w:val="20"/>
        </w:rPr>
        <w:t>la misma</w:t>
      </w:r>
      <w:proofErr w:type="gramEnd"/>
      <w:r w:rsidRPr="000638B9">
        <w:rPr>
          <w:rFonts w:ascii="Arial" w:hAnsi="Arial" w:cs="Arial"/>
          <w:color w:val="000000" w:themeColor="text1"/>
          <w:sz w:val="20"/>
          <w:szCs w:val="20"/>
        </w:rPr>
        <w:t>. Los encabezados deberán estar en español e inglés.</w:t>
      </w:r>
    </w:p>
    <w:p w14:paraId="0F662B83" w14:textId="60661C5E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>A continuación, un ejemplo de Tabla.</w:t>
      </w:r>
    </w:p>
    <w:p w14:paraId="51541BA2" w14:textId="77777777" w:rsidR="00E667E9" w:rsidRPr="000638B9" w:rsidRDefault="00E667E9" w:rsidP="0086159D">
      <w:pPr>
        <w:jc w:val="center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b/>
          <w:bCs/>
          <w:color w:val="000000" w:themeColor="text1"/>
          <w:sz w:val="20"/>
          <w:szCs w:val="20"/>
        </w:rPr>
        <w:t>Tabla 1.</w:t>
      </w: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 Análisis </w:t>
      </w:r>
      <w:r w:rsidRPr="000638B9">
        <w:rPr>
          <w:rFonts w:ascii="Arial" w:hAnsi="Arial" w:cs="Arial"/>
          <w:sz w:val="20"/>
          <w:szCs w:val="20"/>
        </w:rPr>
        <w:t>químico del suelo de la hacienda bananera San Valentín.</w:t>
      </w:r>
    </w:p>
    <w:p w14:paraId="22B4EB0C" w14:textId="77777777" w:rsidR="00E667E9" w:rsidRPr="000638B9" w:rsidRDefault="00E667E9" w:rsidP="0086159D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Table 1.</w:t>
      </w:r>
      <w:r w:rsidRPr="000638B9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Chemical analysis of soil from San Valentín banana farm.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717"/>
        <w:gridCol w:w="717"/>
        <w:gridCol w:w="717"/>
      </w:tblGrid>
      <w:tr w:rsidR="00E667E9" w:rsidRPr="000638B9" w14:paraId="316DA3BF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A9F2FE" w14:textId="52CB95B8" w:rsidR="00E667E9" w:rsidRPr="000638B9" w:rsidRDefault="00341B84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Aspecto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DBC6A0" w14:textId="0DF873CB" w:rsidR="00E667E9" w:rsidRPr="000638B9" w:rsidRDefault="00341B84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5FC57C" w14:textId="524DFE82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280C54" w14:textId="7C4FE948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E667E9" w:rsidRPr="000638B9" w14:paraId="7A7311B3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62F96D3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B9FE95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68837A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88C825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6,57</w:t>
            </w:r>
          </w:p>
        </w:tc>
      </w:tr>
      <w:tr w:rsidR="00E667E9" w:rsidRPr="000638B9" w14:paraId="396DDC58" w14:textId="77777777" w:rsidTr="007D5B41">
        <w:trPr>
          <w:trHeight w:val="20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bottom"/>
          </w:tcPr>
          <w:p w14:paraId="2B7AED33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MO (%)</w:t>
            </w:r>
          </w:p>
        </w:tc>
        <w:tc>
          <w:tcPr>
            <w:tcW w:w="0" w:type="auto"/>
            <w:vAlign w:val="bottom"/>
          </w:tcPr>
          <w:p w14:paraId="25EA8A08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3,14</w:t>
            </w:r>
          </w:p>
        </w:tc>
        <w:tc>
          <w:tcPr>
            <w:tcW w:w="0" w:type="auto"/>
            <w:vAlign w:val="bottom"/>
          </w:tcPr>
          <w:p w14:paraId="31BE19D7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2,80</w:t>
            </w:r>
          </w:p>
        </w:tc>
        <w:tc>
          <w:tcPr>
            <w:tcW w:w="0" w:type="auto"/>
            <w:vAlign w:val="bottom"/>
          </w:tcPr>
          <w:p w14:paraId="64F22B23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2,91</w:t>
            </w:r>
          </w:p>
        </w:tc>
      </w:tr>
      <w:tr w:rsidR="00E667E9" w:rsidRPr="000638B9" w14:paraId="47617EAD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46AAF4C2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∑ Bases - CIC*</w:t>
            </w:r>
          </w:p>
        </w:tc>
        <w:tc>
          <w:tcPr>
            <w:tcW w:w="0" w:type="auto"/>
            <w:vAlign w:val="bottom"/>
          </w:tcPr>
          <w:p w14:paraId="277C99AF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17,31</w:t>
            </w:r>
          </w:p>
        </w:tc>
        <w:tc>
          <w:tcPr>
            <w:tcW w:w="0" w:type="auto"/>
            <w:vAlign w:val="bottom"/>
          </w:tcPr>
          <w:p w14:paraId="722094EE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14,74</w:t>
            </w:r>
          </w:p>
        </w:tc>
        <w:tc>
          <w:tcPr>
            <w:tcW w:w="0" w:type="auto"/>
            <w:vAlign w:val="bottom"/>
          </w:tcPr>
          <w:p w14:paraId="66FE5DCD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15,65</w:t>
            </w:r>
          </w:p>
        </w:tc>
      </w:tr>
      <w:tr w:rsidR="00E667E9" w:rsidRPr="000638B9" w14:paraId="51EA1234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0245A0B2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Ca/Mg</w:t>
            </w:r>
          </w:p>
        </w:tc>
        <w:tc>
          <w:tcPr>
            <w:tcW w:w="0" w:type="auto"/>
            <w:vAlign w:val="bottom"/>
          </w:tcPr>
          <w:p w14:paraId="44328B14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7,13</w:t>
            </w:r>
          </w:p>
        </w:tc>
        <w:tc>
          <w:tcPr>
            <w:tcW w:w="0" w:type="auto"/>
            <w:vAlign w:val="bottom"/>
          </w:tcPr>
          <w:p w14:paraId="620E63DE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3,27</w:t>
            </w:r>
          </w:p>
        </w:tc>
        <w:tc>
          <w:tcPr>
            <w:tcW w:w="0" w:type="auto"/>
            <w:vAlign w:val="bottom"/>
          </w:tcPr>
          <w:p w14:paraId="5D1A382E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4,95</w:t>
            </w:r>
          </w:p>
        </w:tc>
      </w:tr>
      <w:tr w:rsidR="00E667E9" w:rsidRPr="000638B9" w14:paraId="554D38F7" w14:textId="77777777" w:rsidTr="007D5B41">
        <w:trPr>
          <w:trHeight w:val="20"/>
          <w:jc w:val="center"/>
        </w:trPr>
        <w:tc>
          <w:tcPr>
            <w:tcW w:w="0" w:type="auto"/>
            <w:vAlign w:val="bottom"/>
          </w:tcPr>
          <w:p w14:paraId="1BC93866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Mg/K</w:t>
            </w:r>
          </w:p>
        </w:tc>
        <w:tc>
          <w:tcPr>
            <w:tcW w:w="0" w:type="auto"/>
            <w:vAlign w:val="bottom"/>
          </w:tcPr>
          <w:p w14:paraId="11855CED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10,19</w:t>
            </w:r>
          </w:p>
        </w:tc>
        <w:tc>
          <w:tcPr>
            <w:tcW w:w="0" w:type="auto"/>
            <w:vAlign w:val="bottom"/>
          </w:tcPr>
          <w:p w14:paraId="444AA898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0" w:type="auto"/>
            <w:vAlign w:val="bottom"/>
          </w:tcPr>
          <w:p w14:paraId="7F32A768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12,03</w:t>
            </w:r>
          </w:p>
        </w:tc>
      </w:tr>
      <w:tr w:rsidR="00E667E9" w:rsidRPr="000638B9" w14:paraId="7624374F" w14:textId="77777777" w:rsidTr="007D5B41">
        <w:trPr>
          <w:trHeight w:val="20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E8F430F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Ca/K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90C5C6F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72,63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A42DAD3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52,36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1D1BBF3" w14:textId="77777777" w:rsidR="00E667E9" w:rsidRPr="000638B9" w:rsidRDefault="00E667E9" w:rsidP="007D5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68,23</w:t>
            </w:r>
          </w:p>
        </w:tc>
      </w:tr>
      <w:tr w:rsidR="00E667E9" w:rsidRPr="000638B9" w14:paraId="2AC6FF75" w14:textId="77777777" w:rsidTr="007D5B41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6AD053" w14:textId="77777777" w:rsidR="00E667E9" w:rsidRPr="000638B9" w:rsidRDefault="00E667E9" w:rsidP="007D5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8B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*CIC = Capacidad de intercambio catiónico.</w:t>
            </w:r>
          </w:p>
        </w:tc>
      </w:tr>
    </w:tbl>
    <w:p w14:paraId="20BAADF7" w14:textId="3AAF4F99" w:rsidR="00E667E9" w:rsidRPr="000638B9" w:rsidRDefault="00E667E9" w:rsidP="00E667E9">
      <w:pPr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i/>
          <w:iCs/>
          <w:color w:val="000000" w:themeColor="text1"/>
          <w:sz w:val="20"/>
          <w:szCs w:val="20"/>
        </w:rPr>
        <w:t>3.3.2. Figuras</w:t>
      </w:r>
    </w:p>
    <w:p w14:paraId="34B0A9AF" w14:textId="77777777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Todas las ilustraciones </w:t>
      </w:r>
      <w:proofErr w:type="gramStart"/>
      <w:r w:rsidRPr="000638B9">
        <w:rPr>
          <w:rFonts w:ascii="Arial" w:hAnsi="Arial" w:cs="Arial"/>
          <w:color w:val="000000" w:themeColor="text1"/>
          <w:sz w:val="20"/>
          <w:szCs w:val="20"/>
        </w:rPr>
        <w:t>incluyendo</w:t>
      </w:r>
      <w:proofErr w:type="gramEnd"/>
      <w:r w:rsidRPr="000638B9">
        <w:rPr>
          <w:rFonts w:ascii="Arial" w:hAnsi="Arial" w:cs="Arial"/>
          <w:color w:val="000000" w:themeColor="text1"/>
          <w:sz w:val="20"/>
          <w:szCs w:val="20"/>
        </w:rPr>
        <w:t xml:space="preserve"> mapas, esquemas y fotografías entran en la categoría de Figuras y se citan consecutivamente en el texto con numerales arábigos (Figura 1, Figura 2, etc.).</w:t>
      </w:r>
    </w:p>
    <w:p w14:paraId="786A66F4" w14:textId="77777777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>Todas las figuras deben presentarse en color. Se recomienda a los autores cargar las Figuras en formato JPG o TIFF, 300dpi, como archivos independientes.</w:t>
      </w:r>
    </w:p>
    <w:p w14:paraId="24FC8A51" w14:textId="77777777" w:rsidR="00E667E9" w:rsidRPr="000638B9" w:rsidRDefault="00E667E9" w:rsidP="00E667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color w:val="000000" w:themeColor="text1"/>
          <w:sz w:val="20"/>
          <w:szCs w:val="20"/>
        </w:rPr>
        <w:t>Los encabezados deberán estar en español e inglés.</w:t>
      </w:r>
    </w:p>
    <w:bookmarkEnd w:id="2"/>
    <w:p w14:paraId="76E47159" w14:textId="3FDAA745" w:rsidR="00227FED" w:rsidRPr="000638B9" w:rsidRDefault="007B5499" w:rsidP="007B5499">
      <w:pPr>
        <w:jc w:val="center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24FD0F7" wp14:editId="530CAFE8">
            <wp:extent cx="5400000" cy="3037271"/>
            <wp:effectExtent l="0" t="0" r="0" b="0"/>
            <wp:docPr id="6" name="Imagen 6" descr="Una captura de pantalla de una red verd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ptura de pantalla de una red verde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506E" w14:textId="7E5B9B3A" w:rsidR="00227FED" w:rsidRPr="000638B9" w:rsidRDefault="00227FED" w:rsidP="00227FED">
      <w:pPr>
        <w:jc w:val="both"/>
        <w:rPr>
          <w:rFonts w:ascii="Arial" w:hAnsi="Arial" w:cs="Arial"/>
          <w:sz w:val="20"/>
          <w:szCs w:val="20"/>
        </w:rPr>
      </w:pPr>
      <w:bookmarkStart w:id="3" w:name="_Hlk72253806"/>
      <w:r w:rsidRPr="000638B9">
        <w:rPr>
          <w:rFonts w:ascii="Arial" w:hAnsi="Arial" w:cs="Arial"/>
          <w:b/>
          <w:bCs/>
          <w:sz w:val="20"/>
          <w:szCs w:val="20"/>
        </w:rPr>
        <w:t>Figura 1.</w:t>
      </w:r>
      <w:r w:rsidRPr="000638B9">
        <w:rPr>
          <w:rFonts w:ascii="Arial" w:hAnsi="Arial" w:cs="Arial"/>
          <w:sz w:val="20"/>
          <w:szCs w:val="20"/>
        </w:rPr>
        <w:t xml:space="preserve"> </w:t>
      </w:r>
      <w:r w:rsidR="007B5499">
        <w:rPr>
          <w:rFonts w:ascii="Arial" w:hAnsi="Arial" w:cs="Arial"/>
          <w:sz w:val="20"/>
          <w:szCs w:val="20"/>
        </w:rPr>
        <w:t xml:space="preserve">Proceso editorial de </w:t>
      </w:r>
      <w:r w:rsidR="007B5499">
        <w:rPr>
          <w:rFonts w:ascii="Arial" w:hAnsi="Arial" w:cs="Arial"/>
          <w:i/>
          <w:iCs/>
          <w:sz w:val="20"/>
          <w:szCs w:val="20"/>
        </w:rPr>
        <w:t>Siembra</w:t>
      </w:r>
      <w:r w:rsidRPr="000638B9">
        <w:rPr>
          <w:rFonts w:ascii="Arial" w:hAnsi="Arial" w:cs="Arial"/>
          <w:sz w:val="20"/>
          <w:szCs w:val="20"/>
        </w:rPr>
        <w:t>.</w:t>
      </w:r>
    </w:p>
    <w:p w14:paraId="2963516C" w14:textId="66BE4E6F" w:rsidR="00227FED" w:rsidRPr="00E03649" w:rsidRDefault="00227FED" w:rsidP="00227FED">
      <w:pPr>
        <w:jc w:val="both"/>
        <w:rPr>
          <w:rFonts w:ascii="Arial" w:hAnsi="Arial" w:cs="Arial"/>
          <w:i/>
          <w:iCs/>
          <w:sz w:val="20"/>
          <w:szCs w:val="20"/>
          <w:lang w:val="es-EC"/>
        </w:rPr>
      </w:pPr>
      <w:r w:rsidRPr="00E03649"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Figure 1.</w:t>
      </w:r>
      <w:r w:rsidRPr="00E03649"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 w:rsidR="007B5499" w:rsidRPr="00E03649">
        <w:rPr>
          <w:rFonts w:ascii="Arial" w:hAnsi="Arial" w:cs="Arial"/>
          <w:i/>
          <w:iCs/>
          <w:sz w:val="20"/>
          <w:szCs w:val="20"/>
          <w:lang w:val="es-EC"/>
        </w:rPr>
        <w:t>Siembra’s</w:t>
      </w:r>
      <w:proofErr w:type="spellEnd"/>
      <w:r w:rsidR="007B5499" w:rsidRPr="00E03649">
        <w:rPr>
          <w:rFonts w:ascii="Arial" w:hAnsi="Arial" w:cs="Arial"/>
          <w:i/>
          <w:iCs/>
          <w:sz w:val="20"/>
          <w:szCs w:val="20"/>
          <w:lang w:val="es-EC"/>
        </w:rPr>
        <w:t xml:space="preserve"> editorial </w:t>
      </w:r>
      <w:proofErr w:type="spellStart"/>
      <w:r w:rsidR="007B5499" w:rsidRPr="00E03649">
        <w:rPr>
          <w:rFonts w:ascii="Arial" w:hAnsi="Arial" w:cs="Arial"/>
          <w:i/>
          <w:iCs/>
          <w:sz w:val="20"/>
          <w:szCs w:val="20"/>
          <w:lang w:val="es-EC"/>
        </w:rPr>
        <w:t>process</w:t>
      </w:r>
      <w:proofErr w:type="spellEnd"/>
      <w:r w:rsidR="007B5499" w:rsidRPr="00E03649"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</w:p>
    <w:p w14:paraId="3EAF1911" w14:textId="2E58C887" w:rsidR="008D2FBB" w:rsidRPr="008D2FBB" w:rsidRDefault="008D2FBB" w:rsidP="008D2FBB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3.4. </w:t>
      </w:r>
      <w:r w:rsidRPr="008D2FB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Ecuaciones</w:t>
      </w:r>
    </w:p>
    <w:p w14:paraId="4FAC9513" w14:textId="3516EB32" w:rsidR="008D2FBB" w:rsidRDefault="008D2FBB" w:rsidP="008D2FB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FBB">
        <w:rPr>
          <w:rFonts w:ascii="Arial" w:hAnsi="Arial" w:cs="Arial"/>
          <w:color w:val="000000" w:themeColor="text1"/>
          <w:sz w:val="20"/>
          <w:szCs w:val="20"/>
        </w:rPr>
        <w:lastRenderedPageBreak/>
        <w:t>Las ecuaciones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deberán ser elaboradas en el Editor de Ecuaciones de Word, y se numerarán con números arábigos entre corchetes, alineado a la derecha. Las ecuaciones se deben citar en el texto (ecuación [1], ecuación [2])</w:t>
      </w:r>
    </w:p>
    <w:p w14:paraId="3C43A9FA" w14:textId="432575E6" w:rsidR="008D2FBB" w:rsidRDefault="008D2FBB" w:rsidP="008D2FB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×p×q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×p×q</m:t>
            </m:r>
          </m:den>
        </m:f>
      </m:oMath>
      <w:r w:rsidRPr="0037179F">
        <w:rPr>
          <w:rFonts w:ascii="Arial" w:hAnsi="Arial" w:cs="Arial"/>
          <w:sz w:val="20"/>
          <w:szCs w:val="20"/>
        </w:rPr>
        <w:t xml:space="preserve">  </w:t>
      </w:r>
      <w:r w:rsidRPr="0037179F">
        <w:rPr>
          <w:rFonts w:ascii="Arial" w:hAnsi="Arial" w:cs="Arial"/>
          <w:sz w:val="20"/>
          <w:szCs w:val="20"/>
        </w:rPr>
        <w:tab/>
      </w:r>
      <w:r w:rsidR="0037179F">
        <w:rPr>
          <w:rFonts w:ascii="Arial" w:hAnsi="Arial" w:cs="Arial"/>
          <w:sz w:val="20"/>
          <w:szCs w:val="20"/>
        </w:rPr>
        <w:tab/>
      </w:r>
      <w:r w:rsidRPr="0037179F">
        <w:rPr>
          <w:rFonts w:ascii="Arial" w:hAnsi="Arial" w:cs="Arial"/>
          <w:sz w:val="20"/>
          <w:szCs w:val="20"/>
        </w:rPr>
        <w:tab/>
      </w:r>
      <w:r w:rsidRPr="0037179F">
        <w:rPr>
          <w:rFonts w:ascii="Arial" w:hAnsi="Arial" w:cs="Arial"/>
          <w:sz w:val="20"/>
          <w:szCs w:val="20"/>
        </w:rPr>
        <w:tab/>
        <w:t>[1]</w:t>
      </w:r>
    </w:p>
    <w:bookmarkEnd w:id="3"/>
    <w:p w14:paraId="43C07283" w14:textId="006B4175" w:rsidR="00384D81" w:rsidRPr="000638B9" w:rsidRDefault="00384D81" w:rsidP="00384D81">
      <w:p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3.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5</w:t>
      </w:r>
      <w:r w:rsidRPr="000638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Formato de referencias</w:t>
      </w:r>
    </w:p>
    <w:p w14:paraId="4AE36D8D" w14:textId="77777777" w:rsidR="00384D81" w:rsidRPr="000638B9" w:rsidRDefault="00384D81" w:rsidP="00384D81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En concordancia con la política institucional, las citaciones y las referencias deben ceñirse a las normas APA 7ta edición. Las referencias deben ordenarse en orden alfabético. A continuación, se presentan ejemplos de referencias:</w:t>
      </w:r>
    </w:p>
    <w:p w14:paraId="11EEA12D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Libros</w:t>
      </w:r>
    </w:p>
    <w:p w14:paraId="0AAA04DB" w14:textId="7DC29462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de la Torre, L., Navarrete, H., Muriel, P., </w:t>
      </w:r>
      <w:proofErr w:type="spellStart"/>
      <w:r w:rsidRPr="000638B9">
        <w:rPr>
          <w:rFonts w:ascii="Arial" w:hAnsi="Arial" w:cs="Arial"/>
          <w:sz w:val="20"/>
          <w:szCs w:val="20"/>
        </w:rPr>
        <w:t>Macía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M.,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Balslev</w:t>
      </w:r>
      <w:proofErr w:type="spellEnd"/>
      <w:r w:rsidRPr="000638B9">
        <w:rPr>
          <w:rFonts w:ascii="Arial" w:hAnsi="Arial" w:cs="Arial"/>
          <w:sz w:val="20"/>
          <w:szCs w:val="20"/>
        </w:rPr>
        <w:t>, H. (2008).</w:t>
      </w:r>
      <w:r w:rsidRPr="000638B9">
        <w:rPr>
          <w:rStyle w:val="italica"/>
          <w:rFonts w:ascii="Arial" w:hAnsi="Arial" w:cs="Arial"/>
          <w:sz w:val="20"/>
          <w:szCs w:val="20"/>
        </w:rPr>
        <w:t> E</w:t>
      </w:r>
      <w:r w:rsidRPr="000638B9">
        <w:rPr>
          <w:rStyle w:val="nfasis"/>
          <w:rFonts w:ascii="Arial" w:hAnsi="Arial" w:cs="Arial"/>
          <w:sz w:val="20"/>
          <w:szCs w:val="20"/>
        </w:rPr>
        <w:t>nciclopedia de las plantas útiles del Ecuador</w:t>
      </w:r>
      <w:r w:rsidRPr="000638B9">
        <w:rPr>
          <w:rFonts w:ascii="Arial" w:hAnsi="Arial" w:cs="Arial"/>
          <w:sz w:val="20"/>
          <w:szCs w:val="20"/>
        </w:rPr>
        <w:t> (1a ed.). Aarhus.</w:t>
      </w:r>
    </w:p>
    <w:p w14:paraId="3789004E" w14:textId="7431302D" w:rsidR="00384D81" w:rsidRPr="00384D81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proofErr w:type="spellStart"/>
      <w:r w:rsidRPr="00CF04F4">
        <w:rPr>
          <w:rFonts w:ascii="Arial" w:hAnsi="Arial" w:cs="Arial"/>
          <w:sz w:val="20"/>
          <w:szCs w:val="20"/>
          <w:lang w:val="es-EC"/>
        </w:rPr>
        <w:t>Ricke</w:t>
      </w:r>
      <w:proofErr w:type="spellEnd"/>
      <w:r w:rsidRPr="00CF04F4">
        <w:rPr>
          <w:rFonts w:ascii="Arial" w:hAnsi="Arial" w:cs="Arial"/>
          <w:sz w:val="20"/>
          <w:szCs w:val="20"/>
          <w:lang w:val="es-EC"/>
        </w:rPr>
        <w:t xml:space="preserve">, S. C., </w:t>
      </w:r>
      <w:proofErr w:type="spellStart"/>
      <w:r w:rsidRPr="00CF04F4">
        <w:rPr>
          <w:rFonts w:ascii="Arial" w:hAnsi="Arial" w:cs="Arial"/>
          <w:sz w:val="20"/>
          <w:szCs w:val="20"/>
          <w:lang w:val="es-EC"/>
        </w:rPr>
        <w:t>Atungulu</w:t>
      </w:r>
      <w:proofErr w:type="spellEnd"/>
      <w:r w:rsidRPr="00CF04F4">
        <w:rPr>
          <w:rFonts w:ascii="Arial" w:hAnsi="Arial" w:cs="Arial"/>
          <w:sz w:val="20"/>
          <w:szCs w:val="20"/>
          <w:lang w:val="es-EC"/>
        </w:rPr>
        <w:t xml:space="preserve">, G. G., Si, C. E. R., </w:t>
      </w:r>
      <w:r w:rsidR="00CF04F4" w:rsidRPr="00CF04F4">
        <w:rPr>
          <w:rFonts w:ascii="Arial" w:hAnsi="Arial" w:cs="Arial"/>
          <w:sz w:val="20"/>
          <w:szCs w:val="20"/>
          <w:lang w:val="es-EC"/>
        </w:rPr>
        <w:t>y</w:t>
      </w:r>
      <w:r w:rsidRPr="00CF04F4">
        <w:rPr>
          <w:rFonts w:ascii="Arial" w:hAnsi="Arial" w:cs="Arial"/>
          <w:sz w:val="20"/>
          <w:szCs w:val="20"/>
          <w:lang w:val="es-EC"/>
        </w:rPr>
        <w:t xml:space="preserve"> Park, H. (2018).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 Edited by</w:t>
      </w:r>
      <w:r w:rsidRPr="000638B9">
        <w:rPr>
          <w:rFonts w:ascii="Arial" w:hAnsi="Arial" w:cs="Arial"/>
          <w:sz w:val="20"/>
          <w:szCs w:val="20"/>
          <w:lang w:val="en-US"/>
        </w:rPr>
        <w:t>.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. Academic Press Books - Elsevier. </w:t>
      </w:r>
      <w:hyperlink r:id="rId8" w:history="1">
        <w:r w:rsidRPr="00384D81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https://doi.org/10.1088/0004-637X/779/1/11</w:t>
        </w:r>
      </w:hyperlink>
      <w:r w:rsidRPr="00384D81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1DDD7366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0638B9">
        <w:rPr>
          <w:rFonts w:ascii="Arial" w:hAnsi="Arial" w:cs="Arial"/>
          <w:sz w:val="20"/>
          <w:szCs w:val="20"/>
        </w:rPr>
        <w:t>Sundström</w:t>
      </w:r>
      <w:proofErr w:type="spellEnd"/>
      <w:r w:rsidRPr="000638B9">
        <w:rPr>
          <w:rFonts w:ascii="Arial" w:hAnsi="Arial" w:cs="Arial"/>
          <w:sz w:val="20"/>
          <w:szCs w:val="20"/>
        </w:rPr>
        <w:t>, S. (2003).</w:t>
      </w:r>
      <w:r w:rsidRPr="000638B9">
        <w:rPr>
          <w:rStyle w:val="italica"/>
          <w:rFonts w:ascii="Arial" w:hAnsi="Arial" w:cs="Arial"/>
          <w:sz w:val="20"/>
          <w:szCs w:val="20"/>
        </w:rPr>
        <w:t> El ecoturismo como instrumento para desarrollo sostenible: Un estudio comparativo de campo entre Suecia y Ecuador. </w:t>
      </w:r>
      <w:proofErr w:type="spellStart"/>
      <w:r w:rsidRPr="000638B9">
        <w:rPr>
          <w:rFonts w:ascii="Arial" w:hAnsi="Arial" w:cs="Arial"/>
          <w:sz w:val="20"/>
          <w:szCs w:val="20"/>
        </w:rPr>
        <w:t>Institutionen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för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Kultur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och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kommunikation</w:t>
      </w:r>
      <w:proofErr w:type="spellEnd"/>
      <w:r w:rsidRPr="000638B9">
        <w:rPr>
          <w:rFonts w:ascii="Arial" w:hAnsi="Arial" w:cs="Arial"/>
          <w:sz w:val="20"/>
          <w:szCs w:val="20"/>
        </w:rPr>
        <w:t>.</w:t>
      </w:r>
    </w:p>
    <w:p w14:paraId="53A0D955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Capítulos en libros</w:t>
      </w:r>
    </w:p>
    <w:p w14:paraId="5CBE8471" w14:textId="3BE63135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Gutiérrez Villalpando, Martínez Corona, B.,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Salvatierra Izaba, B. (2019). Género y Vulnerabilidad del agua ante la variabilidad climática en la Sierra Nevada de Puebla. En D. A. Fabre Platas, I. Ortiz Sánchez,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G. </w:t>
      </w:r>
      <w:proofErr w:type="spellStart"/>
      <w:r w:rsidRPr="000638B9">
        <w:rPr>
          <w:rFonts w:ascii="Arial" w:hAnsi="Arial" w:cs="Arial"/>
          <w:sz w:val="20"/>
          <w:szCs w:val="20"/>
        </w:rPr>
        <w:t>Busso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638B9">
        <w:rPr>
          <w:rFonts w:ascii="Arial" w:hAnsi="Arial" w:cs="Arial"/>
          <w:sz w:val="20"/>
          <w:szCs w:val="20"/>
        </w:rPr>
        <w:t>Coords</w:t>
      </w:r>
      <w:proofErr w:type="spellEnd"/>
      <w:r w:rsidRPr="000638B9">
        <w:rPr>
          <w:rFonts w:ascii="Arial" w:hAnsi="Arial" w:cs="Arial"/>
          <w:sz w:val="20"/>
          <w:szCs w:val="20"/>
        </w:rPr>
        <w:t>.), </w:t>
      </w:r>
      <w:r w:rsidRPr="000638B9">
        <w:rPr>
          <w:rStyle w:val="italica"/>
          <w:rFonts w:ascii="Arial" w:hAnsi="Arial" w:cs="Arial"/>
          <w:i/>
          <w:iCs/>
          <w:sz w:val="20"/>
          <w:szCs w:val="20"/>
        </w:rPr>
        <w:t>Agua: Territorialidades y dimensionalidades de análisis</w:t>
      </w:r>
      <w:r w:rsidRPr="000638B9">
        <w:rPr>
          <w:rFonts w:ascii="Arial" w:hAnsi="Arial" w:cs="Arial"/>
          <w:sz w:val="20"/>
          <w:szCs w:val="20"/>
        </w:rPr>
        <w:t> (pp. 463-483). Serie Mano Vuelta. Editorial Resistencia SA de CV</w:t>
      </w:r>
    </w:p>
    <w:p w14:paraId="13EBD8D7" w14:textId="0DBE4405" w:rsidR="00384D81" w:rsidRPr="00384D81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proofErr w:type="spellStart"/>
      <w:r w:rsidRPr="00384D81">
        <w:rPr>
          <w:rFonts w:ascii="Arial" w:hAnsi="Arial" w:cs="Arial"/>
          <w:sz w:val="20"/>
          <w:szCs w:val="20"/>
          <w:lang w:val="es-EC"/>
        </w:rPr>
        <w:t>O’Bryan</w:t>
      </w:r>
      <w:proofErr w:type="spellEnd"/>
      <w:r w:rsidRPr="00384D81">
        <w:rPr>
          <w:rFonts w:ascii="Arial" w:hAnsi="Arial" w:cs="Arial"/>
          <w:sz w:val="20"/>
          <w:szCs w:val="20"/>
          <w:lang w:val="es-EC"/>
        </w:rPr>
        <w:t xml:space="preserve">, C. A., Crandall, P. G., </w:t>
      </w:r>
      <w:r w:rsidR="00CF04F4">
        <w:rPr>
          <w:rFonts w:ascii="Arial" w:hAnsi="Arial" w:cs="Arial"/>
          <w:sz w:val="20"/>
          <w:szCs w:val="20"/>
          <w:lang w:val="es-EC"/>
        </w:rPr>
        <w:t>y</w:t>
      </w:r>
      <w:r w:rsidRPr="00384D81">
        <w:rPr>
          <w:rFonts w:ascii="Arial" w:hAnsi="Arial" w:cs="Arial"/>
          <w:sz w:val="20"/>
          <w:szCs w:val="20"/>
          <w:lang w:val="es-EC"/>
        </w:rPr>
        <w:t xml:space="preserve"> </w:t>
      </w:r>
      <w:proofErr w:type="spellStart"/>
      <w:r w:rsidRPr="00384D81">
        <w:rPr>
          <w:rFonts w:ascii="Arial" w:hAnsi="Arial" w:cs="Arial"/>
          <w:sz w:val="20"/>
          <w:szCs w:val="20"/>
          <w:lang w:val="es-EC"/>
        </w:rPr>
        <w:t>Ricke</w:t>
      </w:r>
      <w:proofErr w:type="spellEnd"/>
      <w:r w:rsidRPr="00384D81">
        <w:rPr>
          <w:rFonts w:ascii="Arial" w:hAnsi="Arial" w:cs="Arial"/>
          <w:sz w:val="20"/>
          <w:szCs w:val="20"/>
          <w:lang w:val="es-EC"/>
        </w:rPr>
        <w:t xml:space="preserve">, S. C. (2017). </w:t>
      </w:r>
      <w:r w:rsidRPr="000638B9">
        <w:rPr>
          <w:rFonts w:ascii="Arial" w:hAnsi="Arial" w:cs="Arial"/>
          <w:sz w:val="20"/>
          <w:szCs w:val="20"/>
          <w:lang w:val="en-US"/>
        </w:rPr>
        <w:t>Antimicrobial Resistance in Foodborne Pathogens. In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 (pp. 99–115). Cambridge, Massachusetts,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Estados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 xml:space="preserve"> Unidos: Academic Press Books - Elsevier. </w:t>
      </w:r>
      <w:hyperlink r:id="rId9" w:history="1">
        <w:r w:rsidRPr="00384D81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https://doi.org/10.1016/B978-0-12-811835-1.00006-3</w:t>
        </w:r>
      </w:hyperlink>
      <w:r w:rsidRPr="00384D81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9EA7843" w14:textId="6C2B7F59" w:rsidR="00384D81" w:rsidRPr="00384D81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638B9">
        <w:rPr>
          <w:rFonts w:ascii="Arial" w:hAnsi="Arial" w:cs="Arial"/>
          <w:sz w:val="20"/>
          <w:szCs w:val="20"/>
        </w:rPr>
        <w:t xml:space="preserve">Piñero, D., Caballero-Mellado, J., Cabrera-Toledo, D., Canteros, C., Casas, A., Castañeda, A., Castillo, A., Cerritos, R., </w:t>
      </w:r>
      <w:proofErr w:type="spellStart"/>
      <w:r w:rsidRPr="000638B9">
        <w:rPr>
          <w:rFonts w:ascii="Arial" w:hAnsi="Arial" w:cs="Arial"/>
          <w:sz w:val="20"/>
          <w:szCs w:val="20"/>
        </w:rPr>
        <w:t>Chassin</w:t>
      </w:r>
      <w:proofErr w:type="spellEnd"/>
      <w:r w:rsidRPr="000638B9">
        <w:rPr>
          <w:rFonts w:ascii="Arial" w:hAnsi="Arial" w:cs="Arial"/>
          <w:sz w:val="20"/>
          <w:szCs w:val="20"/>
        </w:rPr>
        <w:t>-Noria, O., Colunga-García, N., Delgado, P., Díaz-</w:t>
      </w:r>
      <w:proofErr w:type="spellStart"/>
      <w:r w:rsidRPr="000638B9">
        <w:rPr>
          <w:rFonts w:ascii="Arial" w:hAnsi="Arial" w:cs="Arial"/>
          <w:sz w:val="20"/>
          <w:szCs w:val="20"/>
        </w:rPr>
        <w:t>Jaimes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P., </w:t>
      </w:r>
      <w:proofErr w:type="spellStart"/>
      <w:r w:rsidRPr="000638B9">
        <w:rPr>
          <w:rFonts w:ascii="Arial" w:hAnsi="Arial" w:cs="Arial"/>
          <w:sz w:val="20"/>
          <w:szCs w:val="20"/>
        </w:rPr>
        <w:t>Eguiarte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L., Escalante, A., Espinoza, B., </w:t>
      </w:r>
      <w:proofErr w:type="spellStart"/>
      <w:r w:rsidRPr="000638B9">
        <w:rPr>
          <w:rFonts w:ascii="Arial" w:hAnsi="Arial" w:cs="Arial"/>
          <w:sz w:val="20"/>
          <w:szCs w:val="20"/>
        </w:rPr>
        <w:t>Fleury</w:t>
      </w:r>
      <w:proofErr w:type="spellEnd"/>
      <w:r w:rsidRPr="000638B9">
        <w:rPr>
          <w:rFonts w:ascii="Arial" w:hAnsi="Arial" w:cs="Arial"/>
          <w:sz w:val="20"/>
          <w:szCs w:val="20"/>
        </w:rPr>
        <w:t>, A., Flores, S., Fragoso, G., González-Astorga, J., Islas, V., Martínez, E., Martínez, F., Martínez-Castillo, J., Mastretta, A., Medellín, R., Medrano-González, L., Molina-</w:t>
      </w:r>
      <w:proofErr w:type="spellStart"/>
      <w:r w:rsidRPr="000638B9">
        <w:rPr>
          <w:rFonts w:ascii="Arial" w:hAnsi="Arial" w:cs="Arial"/>
          <w:sz w:val="20"/>
          <w:szCs w:val="20"/>
        </w:rPr>
        <w:t>Freaner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F., Morales, B., Murguía, A., Vega, A., Payró, E., Reyes-Montes, M., Robles, M., Rodríguez-Arellanes, G., Rojas, L., Romero-Martínez, R., </w:t>
      </w:r>
      <w:proofErr w:type="spellStart"/>
      <w:r w:rsidRPr="000638B9">
        <w:rPr>
          <w:rFonts w:ascii="Arial" w:hAnsi="Arial" w:cs="Arial"/>
          <w:sz w:val="20"/>
          <w:szCs w:val="20"/>
        </w:rPr>
        <w:t>Sahaza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-Cardona, J., Salas, R., </w:t>
      </w:r>
      <w:proofErr w:type="spellStart"/>
      <w:r w:rsidRPr="000638B9">
        <w:rPr>
          <w:rFonts w:ascii="Arial" w:hAnsi="Arial" w:cs="Arial"/>
          <w:sz w:val="20"/>
          <w:szCs w:val="20"/>
        </w:rPr>
        <w:t>Sciutto</w:t>
      </w:r>
      <w:proofErr w:type="spellEnd"/>
      <w:r w:rsidRPr="000638B9">
        <w:rPr>
          <w:rFonts w:ascii="Arial" w:hAnsi="Arial" w:cs="Arial"/>
          <w:sz w:val="20"/>
          <w:szCs w:val="20"/>
        </w:rPr>
        <w:t>, E., Scott, C., Schramm, Y., Silva, C., Souza, V., Taylor, M., Urbán, J., Uribe-</w:t>
      </w:r>
      <w:proofErr w:type="spellStart"/>
      <w:r w:rsidRPr="000638B9">
        <w:rPr>
          <w:rFonts w:ascii="Arial" w:hAnsi="Arial" w:cs="Arial"/>
          <w:sz w:val="20"/>
          <w:szCs w:val="20"/>
        </w:rPr>
        <w:t>Alcócer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M., Vázquez, M., Vázquez-Domínguez, E., </w:t>
      </w:r>
      <w:proofErr w:type="spellStart"/>
      <w:r w:rsidRPr="000638B9">
        <w:rPr>
          <w:rFonts w:ascii="Arial" w:hAnsi="Arial" w:cs="Arial"/>
          <w:sz w:val="20"/>
          <w:szCs w:val="20"/>
        </w:rPr>
        <w:t>Vovides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0638B9">
        <w:rPr>
          <w:rFonts w:ascii="Arial" w:hAnsi="Arial" w:cs="Arial"/>
          <w:sz w:val="20"/>
          <w:szCs w:val="20"/>
        </w:rPr>
        <w:t>Wegier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A., Zaldívar, A.,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Zúñiga, G. (2008). La diversidad genética como instrumento de la conservación y el aprovechamiento de la biodiversidad: estudios en especies mexicanas. En </w:t>
      </w:r>
      <w:r w:rsidRPr="000638B9">
        <w:rPr>
          <w:rStyle w:val="italica"/>
          <w:rFonts w:ascii="Arial" w:hAnsi="Arial" w:cs="Arial"/>
          <w:i/>
          <w:iCs/>
          <w:sz w:val="20"/>
          <w:szCs w:val="20"/>
        </w:rPr>
        <w:t>Capital natural de México, vol. I: Conocimiento actual de la biodiversidad</w:t>
      </w:r>
      <w:r w:rsidRPr="000638B9">
        <w:rPr>
          <w:rFonts w:ascii="Arial" w:hAnsi="Arial" w:cs="Arial"/>
          <w:sz w:val="20"/>
          <w:szCs w:val="20"/>
        </w:rPr>
        <w:t xml:space="preserve"> (pp. 437-494). </w:t>
      </w:r>
      <w:r w:rsidRPr="00384D81">
        <w:rPr>
          <w:rFonts w:ascii="Arial" w:hAnsi="Arial" w:cs="Arial"/>
          <w:sz w:val="20"/>
          <w:szCs w:val="20"/>
          <w:lang w:val="en-US"/>
        </w:rPr>
        <w:t>México: CONABIO.</w:t>
      </w:r>
    </w:p>
    <w:p w14:paraId="1314791C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  <w:lang w:val="en-US"/>
        </w:rPr>
        <w:t>Sloan, P. (2009). Sustainable Development in the Hospitality Industry. In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Sustainability in the Hospitality Industry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 (pp. 1–12). Great Britain: Elsevier Inc. </w:t>
      </w:r>
      <w:hyperlink r:id="rId10" w:history="1">
        <w:r w:rsidRPr="000638B9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https://doi.org/10.1016/B978-0-7506-7968-8.00001-6</w:t>
        </w:r>
      </w:hyperlink>
      <w:r w:rsidRPr="000638B9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1376E7B0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Artículos de Revistas científicas</w:t>
      </w:r>
    </w:p>
    <w:p w14:paraId="53A30D79" w14:textId="77777777" w:rsidR="00384D81" w:rsidRPr="00384D81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638B9">
        <w:rPr>
          <w:rFonts w:ascii="Arial" w:hAnsi="Arial" w:cs="Arial"/>
          <w:sz w:val="20"/>
          <w:szCs w:val="20"/>
          <w:lang w:val="es-EC"/>
        </w:rPr>
        <w:t xml:space="preserve">Hernández Pardo, P. (2011). </w:t>
      </w:r>
      <w:r w:rsidRPr="000638B9">
        <w:rPr>
          <w:rFonts w:ascii="Arial" w:hAnsi="Arial" w:cs="Arial"/>
          <w:sz w:val="20"/>
          <w:szCs w:val="20"/>
        </w:rPr>
        <w:t xml:space="preserve">Ecoturismo en Ecuador: El caso del </w:t>
      </w:r>
      <w:proofErr w:type="spellStart"/>
      <w:r w:rsidRPr="000638B9">
        <w:rPr>
          <w:rFonts w:ascii="Arial" w:hAnsi="Arial" w:cs="Arial"/>
          <w:sz w:val="20"/>
          <w:szCs w:val="20"/>
        </w:rPr>
        <w:t>Oglán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alto. </w:t>
      </w:r>
      <w:r w:rsidRPr="00384D81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 xml:space="preserve">ECA </w:t>
      </w:r>
      <w:proofErr w:type="spellStart"/>
      <w:r w:rsidRPr="00384D81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Sinergia</w:t>
      </w:r>
      <w:proofErr w:type="spellEnd"/>
      <w:r w:rsidRPr="00384D81">
        <w:rPr>
          <w:rStyle w:val="nfasis"/>
          <w:rFonts w:ascii="Arial" w:hAnsi="Arial" w:cs="Arial"/>
          <w:sz w:val="20"/>
          <w:szCs w:val="20"/>
          <w:lang w:val="en-US"/>
        </w:rPr>
        <w:t>, 2</w:t>
      </w:r>
      <w:r w:rsidRPr="00384D81">
        <w:rPr>
          <w:rFonts w:ascii="Arial" w:hAnsi="Arial" w:cs="Arial"/>
          <w:sz w:val="20"/>
          <w:szCs w:val="20"/>
          <w:lang w:val="en-US"/>
        </w:rPr>
        <w:t>(1), 9-17.</w:t>
      </w:r>
    </w:p>
    <w:p w14:paraId="3148C030" w14:textId="01C8D943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  <w:lang w:val="en-US"/>
        </w:rPr>
        <w:lastRenderedPageBreak/>
        <w:t xml:space="preserve">Meyer, S. T.,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Heuss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 xml:space="preserve">, L.,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Feldhaar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 xml:space="preserve">, H., Weisser, W. W., </w:t>
      </w:r>
      <w:r w:rsidR="00CF04F4">
        <w:rPr>
          <w:rFonts w:ascii="Arial" w:hAnsi="Arial" w:cs="Arial"/>
          <w:sz w:val="20"/>
          <w:szCs w:val="20"/>
          <w:lang w:val="en-US"/>
        </w:rPr>
        <w:t>y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Gossner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>, M. M. (2019). Land-use components, abundance of predatory arthropods, and vegetation height affect predation rates in grasslands. 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Agriculture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,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Ecosystems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r w:rsidR="00CF04F4">
        <w:rPr>
          <w:rStyle w:val="nfasis"/>
          <w:rFonts w:ascii="Arial" w:hAnsi="Arial" w:cs="Arial"/>
          <w:sz w:val="20"/>
          <w:szCs w:val="20"/>
        </w:rPr>
        <w:t>y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Environment</w:t>
      </w:r>
      <w:proofErr w:type="spellEnd"/>
      <w:r w:rsidRPr="000638B9">
        <w:rPr>
          <w:rFonts w:ascii="Arial" w:hAnsi="Arial" w:cs="Arial"/>
          <w:sz w:val="20"/>
          <w:szCs w:val="20"/>
        </w:rPr>
        <w:t>, </w:t>
      </w:r>
      <w:r w:rsidRPr="000638B9">
        <w:rPr>
          <w:rStyle w:val="nfasis"/>
          <w:rFonts w:ascii="Arial" w:hAnsi="Arial" w:cs="Arial"/>
          <w:sz w:val="20"/>
          <w:szCs w:val="20"/>
        </w:rPr>
        <w:t>270</w:t>
      </w:r>
      <w:r w:rsidRPr="000638B9">
        <w:rPr>
          <w:rFonts w:ascii="Arial" w:hAnsi="Arial" w:cs="Arial"/>
          <w:sz w:val="20"/>
          <w:szCs w:val="20"/>
        </w:rPr>
        <w:t>–</w:t>
      </w:r>
      <w:r w:rsidRPr="000638B9">
        <w:rPr>
          <w:rStyle w:val="nfasis"/>
          <w:rFonts w:ascii="Arial" w:hAnsi="Arial" w:cs="Arial"/>
          <w:sz w:val="20"/>
          <w:szCs w:val="20"/>
        </w:rPr>
        <w:t>271</w:t>
      </w:r>
      <w:r w:rsidRPr="000638B9">
        <w:rPr>
          <w:rFonts w:ascii="Arial" w:hAnsi="Arial" w:cs="Arial"/>
          <w:sz w:val="20"/>
          <w:szCs w:val="20"/>
        </w:rPr>
        <w:t xml:space="preserve">, 84–92. </w:t>
      </w:r>
      <w:hyperlink r:id="rId11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https://doi.org/10.1016/j.agee.2018.10.015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4F01B420" w14:textId="69360428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638B9">
        <w:rPr>
          <w:rFonts w:ascii="Arial" w:hAnsi="Arial" w:cs="Arial"/>
          <w:sz w:val="20"/>
          <w:szCs w:val="20"/>
        </w:rPr>
        <w:t xml:space="preserve">Mora Pisco, C. I., Montilla Pacheco, A. J.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Mora Pisco, L. L. (2019). Perspectivas y potencialidades del cantón Manta para la implementación de un plan de marketing turístico. </w:t>
      </w:r>
      <w:proofErr w:type="spellStart"/>
      <w:r w:rsidRPr="000638B9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TURyDES</w:t>
      </w:r>
      <w:proofErr w:type="spellEnd"/>
      <w:r w:rsidRPr="000638B9">
        <w:rPr>
          <w:rStyle w:val="italica"/>
          <w:rFonts w:ascii="Arial" w:hAnsi="Arial" w:cs="Arial"/>
          <w:i/>
          <w:iCs/>
          <w:sz w:val="20"/>
          <w:szCs w:val="20"/>
          <w:lang w:val="en-US"/>
        </w:rPr>
        <w:t>, 12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(26), </w:t>
      </w:r>
      <w:hyperlink r:id="rId12" w:history="1">
        <w:r w:rsidRPr="000638B9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https://www.eumed.net/rev/turydes/26/marketing-turistico-manta.html</w:t>
        </w:r>
      </w:hyperlink>
      <w:r w:rsidRPr="000638B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67FC6E" w14:textId="39AAB8C8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Orgaz-Agüera, F.,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Cañero Morales, P. (2017). Ecoturismo y desarrollo sostenible. Un estudio de caso en comunidades rurales de República Dominicana. </w:t>
      </w:r>
      <w:r w:rsidRPr="000638B9">
        <w:rPr>
          <w:rStyle w:val="italica"/>
          <w:rFonts w:ascii="Arial" w:hAnsi="Arial" w:cs="Arial"/>
          <w:i/>
          <w:iCs/>
          <w:sz w:val="20"/>
          <w:szCs w:val="20"/>
        </w:rPr>
        <w:t>PASOS Revista de Turismo y Patrimonio Cultural</w:t>
      </w:r>
      <w:r w:rsidRPr="000638B9">
        <w:rPr>
          <w:rStyle w:val="nfasis"/>
          <w:rFonts w:ascii="Arial" w:hAnsi="Arial" w:cs="Arial"/>
          <w:sz w:val="20"/>
          <w:szCs w:val="20"/>
        </w:rPr>
        <w:t>, 13</w:t>
      </w:r>
      <w:r w:rsidRPr="000638B9">
        <w:rPr>
          <w:rFonts w:ascii="Arial" w:hAnsi="Arial" w:cs="Arial"/>
          <w:sz w:val="20"/>
          <w:szCs w:val="20"/>
        </w:rPr>
        <w:t xml:space="preserve">(6), 1425-1435. </w:t>
      </w:r>
      <w:hyperlink r:id="rId13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https://doi.org/10.25145/j.pasos.2015.13.099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234BC268" w14:textId="6D779EE9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proofErr w:type="spellStart"/>
      <w:r w:rsidRPr="000638B9">
        <w:rPr>
          <w:rFonts w:ascii="Arial" w:hAnsi="Arial" w:cs="Arial"/>
          <w:sz w:val="20"/>
          <w:szCs w:val="20"/>
        </w:rPr>
        <w:t>Vallverdú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-Queralt, A., </w:t>
      </w:r>
      <w:proofErr w:type="spellStart"/>
      <w:r w:rsidRPr="000638B9">
        <w:rPr>
          <w:rFonts w:ascii="Arial" w:hAnsi="Arial" w:cs="Arial"/>
          <w:sz w:val="20"/>
          <w:szCs w:val="20"/>
        </w:rPr>
        <w:t>Raquiero</w:t>
      </w:r>
      <w:proofErr w:type="spellEnd"/>
      <w:r w:rsidRPr="000638B9">
        <w:rPr>
          <w:rFonts w:ascii="Arial" w:hAnsi="Arial" w:cs="Arial"/>
          <w:sz w:val="20"/>
          <w:szCs w:val="20"/>
        </w:rPr>
        <w:t>, J., Martínez-</w:t>
      </w:r>
      <w:proofErr w:type="spellStart"/>
      <w:r w:rsidRPr="000638B9">
        <w:rPr>
          <w:rFonts w:ascii="Arial" w:hAnsi="Arial" w:cs="Arial"/>
          <w:sz w:val="20"/>
          <w:szCs w:val="20"/>
        </w:rPr>
        <w:t>Huelamo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M., Rinaldi, J., Leal, L.,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Lamuela-Raventos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R. (2014). 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A comprehensive study on the phenolic profile of widely used culinary herbs and spices: rosemary, thyme, oregano, cinnamon, </w:t>
      </w:r>
      <w:proofErr w:type="gramStart"/>
      <w:r w:rsidRPr="000638B9">
        <w:rPr>
          <w:rFonts w:ascii="Arial" w:hAnsi="Arial" w:cs="Arial"/>
          <w:sz w:val="20"/>
          <w:szCs w:val="20"/>
          <w:lang w:val="en-US"/>
        </w:rPr>
        <w:t>cumin</w:t>
      </w:r>
      <w:proofErr w:type="gramEnd"/>
      <w:r w:rsidRPr="000638B9">
        <w:rPr>
          <w:rFonts w:ascii="Arial" w:hAnsi="Arial" w:cs="Arial"/>
          <w:sz w:val="20"/>
          <w:szCs w:val="20"/>
          <w:lang w:val="en-US"/>
        </w:rPr>
        <w:t xml:space="preserve"> and bay. </w:t>
      </w:r>
      <w:proofErr w:type="spellStart"/>
      <w:r w:rsidRPr="00384D81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Food</w:t>
      </w:r>
      <w:proofErr w:type="spellEnd"/>
      <w:r w:rsidRPr="00384D81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 w:rsidRPr="00384D81">
        <w:rPr>
          <w:rStyle w:val="italica"/>
          <w:rFonts w:ascii="Arial" w:hAnsi="Arial" w:cs="Arial"/>
          <w:i/>
          <w:iCs/>
          <w:sz w:val="20"/>
          <w:szCs w:val="20"/>
          <w:lang w:val="es-EC"/>
        </w:rPr>
        <w:t>Chemistry</w:t>
      </w:r>
      <w:proofErr w:type="spellEnd"/>
      <w:r w:rsidRPr="00384D81">
        <w:rPr>
          <w:rStyle w:val="nfasis"/>
          <w:rFonts w:ascii="Arial" w:hAnsi="Arial" w:cs="Arial"/>
          <w:sz w:val="20"/>
          <w:szCs w:val="20"/>
          <w:lang w:val="es-EC"/>
        </w:rPr>
        <w:t>, 154</w:t>
      </w:r>
      <w:r w:rsidRPr="00384D81">
        <w:rPr>
          <w:rFonts w:ascii="Arial" w:hAnsi="Arial" w:cs="Arial"/>
          <w:sz w:val="20"/>
          <w:szCs w:val="20"/>
          <w:lang w:val="es-EC"/>
        </w:rPr>
        <w:t xml:space="preserve">(1), 299-307. </w:t>
      </w:r>
      <w:hyperlink r:id="rId14" w:history="1">
        <w:r w:rsidRPr="000638B9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https://doi.org/10.1016/j.foodchem.2013.12.106</w:t>
        </w:r>
      </w:hyperlink>
      <w:r w:rsidRPr="000638B9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2C6DDD55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Acta de Congreso</w:t>
      </w:r>
    </w:p>
    <w:p w14:paraId="0DD0DFA5" w14:textId="3A64434A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Prado, O., Morales, E.,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Macedo, R. (2010). Factores de riesgo relacionados con tiempo de retiro de agua y alimento, captura, transporte y espera sobre la mortalidad de pollos</w:t>
      </w:r>
      <w:r w:rsidRPr="000638B9">
        <w:rPr>
          <w:rStyle w:val="italica"/>
          <w:rFonts w:ascii="Arial" w:hAnsi="Arial" w:cs="Arial"/>
          <w:sz w:val="20"/>
          <w:szCs w:val="20"/>
        </w:rPr>
        <w:t>. En </w:t>
      </w:r>
      <w:r w:rsidRPr="000638B9">
        <w:rPr>
          <w:rStyle w:val="nfasis"/>
          <w:rFonts w:ascii="Arial" w:hAnsi="Arial" w:cs="Arial"/>
          <w:sz w:val="20"/>
          <w:szCs w:val="20"/>
        </w:rPr>
        <w:t>Memorias de la Tercera Reunión Anual de la Asociación de Especialistas en Ciencias Avícolas del Centro de México A.C.</w:t>
      </w:r>
      <w:r w:rsidRPr="000638B9">
        <w:rPr>
          <w:rStyle w:val="italica"/>
          <w:rFonts w:ascii="Arial" w:hAnsi="Arial" w:cs="Arial"/>
          <w:sz w:val="20"/>
          <w:szCs w:val="20"/>
        </w:rPr>
        <w:t> </w:t>
      </w:r>
      <w:r w:rsidRPr="000638B9">
        <w:rPr>
          <w:rFonts w:ascii="Arial" w:hAnsi="Arial" w:cs="Arial"/>
          <w:sz w:val="20"/>
          <w:szCs w:val="20"/>
        </w:rPr>
        <w:t>(pp. 86-92). Asociación de Especialistas en Ciencias Avícolas del Centro de México A.C.</w:t>
      </w:r>
    </w:p>
    <w:p w14:paraId="212087A6" w14:textId="5BC434B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Zavala-</w:t>
      </w:r>
      <w:proofErr w:type="spellStart"/>
      <w:r w:rsidRPr="000638B9">
        <w:rPr>
          <w:rFonts w:ascii="Arial" w:hAnsi="Arial" w:cs="Arial"/>
          <w:sz w:val="20"/>
          <w:szCs w:val="20"/>
        </w:rPr>
        <w:t>Nigoa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J., Loarca-Piña, G.,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García-García, T. (2010).</w:t>
      </w:r>
      <w:r w:rsidRPr="000638B9">
        <w:rPr>
          <w:rStyle w:val="italica"/>
          <w:rFonts w:ascii="Arial" w:hAnsi="Arial" w:cs="Arial"/>
          <w:sz w:val="20"/>
          <w:szCs w:val="20"/>
        </w:rPr>
        <w:t> 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Evaluación del contenido fenólico, capacidad </w:t>
      </w:r>
      <w:r w:rsidRPr="000638B9">
        <w:rPr>
          <w:rFonts w:ascii="Arial" w:hAnsi="Arial" w:cs="Arial"/>
          <w:i/>
          <w:iCs/>
        </w:rPr>
        <w:t>antioxidante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 y actividad citotóxica sobre células caco-2 del extracto acuoso de orégano (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Lippia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graveolens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KUNT)</w:t>
      </w:r>
      <w:r w:rsidRPr="000638B9">
        <w:rPr>
          <w:rFonts w:ascii="Arial" w:hAnsi="Arial" w:cs="Arial"/>
          <w:sz w:val="20"/>
          <w:szCs w:val="20"/>
        </w:rPr>
        <w:t>. 2.º Congreso Nacional de Química Médica. Querétaro.</w:t>
      </w:r>
    </w:p>
    <w:p w14:paraId="7800A273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Trabajos de titulación/Tesis</w:t>
      </w:r>
    </w:p>
    <w:p w14:paraId="4B6509FE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Bonilla Villota, S. X. (2018). </w:t>
      </w:r>
      <w:r w:rsidRPr="000638B9">
        <w:rPr>
          <w:rStyle w:val="nfasis"/>
          <w:rFonts w:ascii="Arial" w:hAnsi="Arial" w:cs="Arial"/>
          <w:sz w:val="20"/>
          <w:szCs w:val="20"/>
        </w:rPr>
        <w:t>Efecto del 1-Metilciclopropeno en la inhibición del etileno en la maduración de Chirimoya (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Annona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cherimola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Mill)</w:t>
      </w:r>
      <w:r w:rsidRPr="000638B9">
        <w:rPr>
          <w:rFonts w:ascii="Arial" w:hAnsi="Arial" w:cs="Arial"/>
          <w:sz w:val="20"/>
          <w:szCs w:val="20"/>
        </w:rPr>
        <w:t>. Universidad Central del Ecuador.</w:t>
      </w:r>
    </w:p>
    <w:p w14:paraId="7E3D249E" w14:textId="26AEFC0A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Rojas </w:t>
      </w:r>
      <w:proofErr w:type="spellStart"/>
      <w:r w:rsidRPr="000638B9">
        <w:rPr>
          <w:rFonts w:ascii="Arial" w:hAnsi="Arial" w:cs="Arial"/>
          <w:sz w:val="20"/>
          <w:szCs w:val="20"/>
        </w:rPr>
        <w:t>Landacay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D. E.,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González, C. de L. Á. (2011). 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Propuesta de adecuación y señalización del sendero turístico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intervalles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de las parroquias surorientales de Malacatos, San Pedro de Vilcabamba y Vilcabamba del cantón Loja, provincia de Loja</w:t>
      </w:r>
      <w:r w:rsidRPr="000638B9">
        <w:rPr>
          <w:rFonts w:ascii="Arial" w:hAnsi="Arial" w:cs="Arial"/>
          <w:sz w:val="20"/>
          <w:szCs w:val="20"/>
        </w:rPr>
        <w:t>. Universidad Técnica Particular de Loja.</w:t>
      </w:r>
    </w:p>
    <w:p w14:paraId="0AB2CF51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Base de datos</w:t>
      </w:r>
    </w:p>
    <w:p w14:paraId="08C80B1B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Instituto Nacional de Estadísticas y Censos [INEC]. (2010). </w:t>
      </w:r>
      <w:r w:rsidRPr="000638B9">
        <w:rPr>
          <w:rStyle w:val="nfasis"/>
          <w:rFonts w:ascii="Arial" w:hAnsi="Arial" w:cs="Arial"/>
          <w:sz w:val="20"/>
          <w:szCs w:val="20"/>
        </w:rPr>
        <w:t>Censo de Población y Vivienda</w:t>
      </w:r>
      <w:r w:rsidRPr="000638B9">
        <w:rPr>
          <w:rFonts w:ascii="Arial" w:hAnsi="Arial" w:cs="Arial"/>
          <w:sz w:val="20"/>
          <w:szCs w:val="20"/>
        </w:rPr>
        <w:t>. Instituto Nacional de Estadísticas y Censos</w:t>
      </w:r>
    </w:p>
    <w:p w14:paraId="7D5EB284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Reporte o Informe Técnico</w:t>
      </w:r>
    </w:p>
    <w:p w14:paraId="34F37C7F" w14:textId="22DE916F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Bustamante, M. (2007). 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Política de reinversión para el complejo termal de la comunidad de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Oyacachi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en la Reserva Ecológica Cayambe Coca</w:t>
      </w:r>
      <w:r w:rsidRPr="000638B9">
        <w:rPr>
          <w:rStyle w:val="italica"/>
          <w:rFonts w:ascii="Arial" w:hAnsi="Arial" w:cs="Arial"/>
          <w:sz w:val="20"/>
          <w:szCs w:val="20"/>
        </w:rPr>
        <w:t>. </w:t>
      </w:r>
      <w:r w:rsidRPr="000638B9">
        <w:rPr>
          <w:rFonts w:ascii="Arial" w:hAnsi="Arial" w:cs="Arial"/>
          <w:sz w:val="20"/>
          <w:szCs w:val="20"/>
        </w:rPr>
        <w:t xml:space="preserve">Programa Parques en peligro. </w:t>
      </w:r>
      <w:proofErr w:type="spellStart"/>
      <w:r w:rsidRPr="000638B9">
        <w:rPr>
          <w:rFonts w:ascii="Arial" w:hAnsi="Arial" w:cs="Arial"/>
          <w:sz w:val="20"/>
          <w:szCs w:val="20"/>
        </w:rPr>
        <w:t>Ecociencia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Fundación Ecológica </w:t>
      </w:r>
      <w:proofErr w:type="spellStart"/>
      <w:r w:rsidRPr="000638B9">
        <w:rPr>
          <w:rFonts w:ascii="Arial" w:hAnsi="Arial" w:cs="Arial"/>
          <w:sz w:val="20"/>
          <w:szCs w:val="20"/>
        </w:rPr>
        <w:t>Rumicocha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Ministerio del Ambiente, Fundación Antisana, </w:t>
      </w:r>
      <w:proofErr w:type="spellStart"/>
      <w:r w:rsidRPr="000638B9">
        <w:rPr>
          <w:rFonts w:ascii="Arial" w:hAnsi="Arial" w:cs="Arial"/>
          <w:sz w:val="20"/>
          <w:szCs w:val="20"/>
        </w:rPr>
        <w:t>The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Nature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</w:rPr>
        <w:t>Conservancy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USAID.</w:t>
      </w:r>
    </w:p>
    <w:p w14:paraId="7BFBE86D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Escobar Manosalvas, J. (2018). </w:t>
      </w:r>
      <w:r w:rsidRPr="000638B9">
        <w:rPr>
          <w:rStyle w:val="nfasis"/>
          <w:rFonts w:ascii="Arial" w:hAnsi="Arial" w:cs="Arial"/>
          <w:sz w:val="20"/>
          <w:szCs w:val="20"/>
        </w:rPr>
        <w:t>Guía de capacitación para agricultores familiares dedicados a la producción lechera</w:t>
      </w:r>
      <w:r w:rsidRPr="000638B9">
        <w:rPr>
          <w:rFonts w:ascii="Arial" w:hAnsi="Arial" w:cs="Arial"/>
          <w:sz w:val="20"/>
          <w:szCs w:val="20"/>
        </w:rPr>
        <w:t>. Quito: Instituto Interamericano de Cooperación para la Agricultura (IICA).</w:t>
      </w:r>
    </w:p>
    <w:p w14:paraId="0A10AB11" w14:textId="33D33AE4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Programa de las Naciones Unidas para el Medio Ambiente [PNUMA]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Organización Mundial del Turismo [OMT]. (2006). </w:t>
      </w:r>
      <w:r w:rsidRPr="000638B9">
        <w:rPr>
          <w:rStyle w:val="nfasis"/>
          <w:rFonts w:ascii="Arial" w:hAnsi="Arial" w:cs="Arial"/>
          <w:sz w:val="20"/>
          <w:szCs w:val="20"/>
        </w:rPr>
        <w:t>Por un turismo más sostenible. Guía para responsables políticos</w:t>
      </w:r>
      <w:r w:rsidRPr="000638B9">
        <w:rPr>
          <w:rFonts w:ascii="Arial" w:hAnsi="Arial" w:cs="Arial"/>
          <w:sz w:val="20"/>
          <w:szCs w:val="20"/>
        </w:rPr>
        <w:t> (CEDEX). París: PNUE DTIE. </w:t>
      </w:r>
      <w:hyperlink r:id="rId15" w:history="1">
        <w:r w:rsidRPr="000638B9">
          <w:rPr>
            <w:rStyle w:val="Hipervnculo"/>
            <w:rFonts w:ascii="Arial" w:hAnsi="Arial" w:cs="Arial"/>
            <w:color w:val="007AB2"/>
            <w:sz w:val="20"/>
            <w:szCs w:val="20"/>
          </w:rPr>
          <w:t>https://doi.org/10.18111/9789284411894</w:t>
        </w:r>
      </w:hyperlink>
    </w:p>
    <w:p w14:paraId="3C7F5C41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Ley/Norma</w:t>
      </w:r>
    </w:p>
    <w:p w14:paraId="7D03027A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lastRenderedPageBreak/>
        <w:t>Ley de Gestión Ambiental del Ecuador. Ley Nro.99-37, 38. Registro Oficial No. 245 14. 30 de julio de 1999.</w:t>
      </w:r>
    </w:p>
    <w:p w14:paraId="7782EC7E" w14:textId="5CE26249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Norma Oficial Mexicana NOM-161-SEMARNAT-2011, Que establece los criterios para clasificar a los Residuos de Manejo Especial y determinar cuáles están sujetos a Plan de Manejo; el listado de </w:t>
      </w:r>
      <w:proofErr w:type="gramStart"/>
      <w:r w:rsidRPr="000638B9">
        <w:rPr>
          <w:rFonts w:ascii="Arial" w:hAnsi="Arial" w:cs="Arial"/>
          <w:sz w:val="20"/>
          <w:szCs w:val="20"/>
        </w:rPr>
        <w:t>los mismos</w:t>
      </w:r>
      <w:proofErr w:type="gramEnd"/>
      <w:r w:rsidRPr="000638B9">
        <w:rPr>
          <w:rFonts w:ascii="Arial" w:hAnsi="Arial" w:cs="Arial"/>
          <w:sz w:val="20"/>
          <w:szCs w:val="20"/>
        </w:rPr>
        <w:t xml:space="preserve">, el procedimiento para la inclusión o exclusión a dicho listado; así como los elementos y procedimientos para la formulación de los planes de manejo. 23 de noviembre de 2012 (México). </w:t>
      </w:r>
      <w:hyperlink r:id="rId16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http://www.dof.gob.mx/nota_detalle.php?codigo=5286505</w:t>
        </w:r>
        <w:r w:rsidR="00CF04F4">
          <w:rPr>
            <w:rStyle w:val="Hipervnculo"/>
            <w:rFonts w:ascii="Arial" w:hAnsi="Arial" w:cs="Arial"/>
            <w:sz w:val="20"/>
            <w:szCs w:val="20"/>
          </w:rPr>
          <w:t>y</w:t>
        </w:r>
        <w:r w:rsidRPr="000638B9">
          <w:rPr>
            <w:rStyle w:val="Hipervnculo"/>
            <w:rFonts w:ascii="Arial" w:hAnsi="Arial" w:cs="Arial"/>
            <w:sz w:val="20"/>
            <w:szCs w:val="20"/>
          </w:rPr>
          <w:t>fecha=01/02/2013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74B78672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Página web</w:t>
      </w:r>
    </w:p>
    <w:p w14:paraId="3FADBA2D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Ministerio de Turismo [MINTUR]. (2015). Movimientos Internacionales - Portal Servicios MINTUR.  http://servicios.turismo.gob.ec/index.php/turismo-cifras/2018-09-19-17-01-51/movimientos-internacionales</w:t>
      </w:r>
    </w:p>
    <w:p w14:paraId="06CC2672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Ministerio de Agricultura y Ganadería. (2018). Redes Comerciales.  </w:t>
      </w:r>
      <w:hyperlink r:id="rId17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https://www.agricultura.gob.ec/redes-comerciales/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60EB8B93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Burgueño, E. (2020). Países con el mayor número de usuarios de Facebook en América Latina en abril de 2020. </w:t>
      </w:r>
      <w:hyperlink r:id="rId18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https://es.statista.com/estadisticas/1173450/paises-mayor-cantidad-usuarios-facebook-america-latina/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47566E07" w14:textId="77777777" w:rsidR="00384D81" w:rsidRPr="000638B9" w:rsidRDefault="00384D81" w:rsidP="00384D81">
      <w:pPr>
        <w:pStyle w:val="NormalWeb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sz w:val="20"/>
          <w:szCs w:val="20"/>
        </w:rPr>
      </w:pPr>
      <w:r w:rsidRPr="000638B9">
        <w:rPr>
          <w:rStyle w:val="Textoennegrita"/>
          <w:rFonts w:ascii="Arial" w:hAnsi="Arial" w:cs="Arial"/>
          <w:i/>
          <w:iCs/>
          <w:sz w:val="20"/>
          <w:szCs w:val="20"/>
        </w:rPr>
        <w:t>Noticias</w:t>
      </w:r>
    </w:p>
    <w:p w14:paraId="59C7E466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Duarte, F. (9 de septiembre de 2019). Los países en los que la gente pasa más tiempo en las redes sociales (y los líderes en América Latina). BBC Mundo. </w:t>
      </w:r>
      <w:hyperlink r:id="rId19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https://www.bbc.com/mundo/noticias-49634612https://www.bbc.com/mundo/noticias-49634612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6491FF6F" w14:textId="77777777" w:rsidR="00384D81" w:rsidRPr="000638B9" w:rsidRDefault="00384D81" w:rsidP="00384D81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</w:rPr>
        <w:t xml:space="preserve">El Comercio. (14 de julio de 2020). 630 hoteles del Ecuador permanecen cerrados; algunos administradores analizan la suspensión definitiva. El Comercio. </w:t>
      </w:r>
      <w:hyperlink r:id="rId20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https://www.elcomercio.com/actualidad/hoteles-ecuador-cerrados-pandemia-coronavirus.html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3B77E385" w14:textId="77777777" w:rsidR="00384D81" w:rsidRDefault="00384D81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882973" w14:textId="22DAB5A9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 xml:space="preserve">4. Conclusiones </w:t>
      </w:r>
    </w:p>
    <w:p w14:paraId="35AB11B2" w14:textId="42327BA6" w:rsidR="00227FED" w:rsidRDefault="002A4ADF" w:rsidP="002A4ADF">
      <w:pPr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Se debe indicar de manera definitiva, resumida y exacta las aportaciones concretas al conocimiento, respaldadas por los resultados demostrables y comprobables del estudio. Las conclusiones deben limitarse a los resultados obtenidos y no deben presentar argumentos basados en suposiciones o conjeturas.</w:t>
      </w:r>
    </w:p>
    <w:p w14:paraId="25BE6613" w14:textId="77777777" w:rsidR="00971380" w:rsidRPr="00971380" w:rsidRDefault="00971380" w:rsidP="002A4ADF">
      <w:pPr>
        <w:jc w:val="both"/>
        <w:rPr>
          <w:rFonts w:ascii="Arial" w:hAnsi="Arial" w:cs="Arial"/>
          <w:sz w:val="20"/>
          <w:szCs w:val="20"/>
          <w:lang w:val="es-EC"/>
        </w:rPr>
      </w:pPr>
    </w:p>
    <w:p w14:paraId="4E6F588F" w14:textId="77777777" w:rsidR="00227FED" w:rsidRPr="000638B9" w:rsidRDefault="00227FED" w:rsidP="00227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8B9">
        <w:rPr>
          <w:rFonts w:ascii="Arial" w:hAnsi="Arial" w:cs="Arial"/>
          <w:b/>
          <w:bCs/>
          <w:sz w:val="20"/>
          <w:szCs w:val="20"/>
        </w:rPr>
        <w:t xml:space="preserve">Referencias </w:t>
      </w:r>
    </w:p>
    <w:p w14:paraId="40D9B4E8" w14:textId="77777777" w:rsidR="00384D81" w:rsidRPr="000638B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</w:rPr>
        <w:t xml:space="preserve">El Comercio. (14 de julio de 2020). 630 hoteles del Ecuador permanecen cerrados; algunos administradores analizan la suspensión definitiva. El Comercio. </w:t>
      </w:r>
      <w:hyperlink r:id="rId21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https://www.elcomercio.com/actualidad/hoteles-ecuador-cerrados-pandemia-coronavirus.html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7AFDEC9D" w14:textId="77777777" w:rsidR="00384D81" w:rsidRPr="000638B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Escobar Manosalvas, J. (2018). </w:t>
      </w:r>
      <w:r w:rsidRPr="000638B9">
        <w:rPr>
          <w:rStyle w:val="nfasis"/>
          <w:rFonts w:ascii="Arial" w:hAnsi="Arial" w:cs="Arial"/>
          <w:sz w:val="20"/>
          <w:szCs w:val="20"/>
        </w:rPr>
        <w:t>Guía de capacitación para agricultores familiares dedicados a la producción lechera</w:t>
      </w:r>
      <w:r w:rsidRPr="000638B9">
        <w:rPr>
          <w:rFonts w:ascii="Arial" w:hAnsi="Arial" w:cs="Arial"/>
          <w:sz w:val="20"/>
          <w:szCs w:val="20"/>
        </w:rPr>
        <w:t>. Quito: Instituto Interamericano de Cooperación para la Agricultura (IICA).</w:t>
      </w:r>
    </w:p>
    <w:p w14:paraId="7A6B360C" w14:textId="77777777" w:rsidR="00384D81" w:rsidRPr="000638B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Instituto Nacional de Estadísticas y Censos [INEC]. (2010). </w:t>
      </w:r>
      <w:r w:rsidRPr="000638B9">
        <w:rPr>
          <w:rStyle w:val="nfasis"/>
          <w:rFonts w:ascii="Arial" w:hAnsi="Arial" w:cs="Arial"/>
          <w:sz w:val="20"/>
          <w:szCs w:val="20"/>
        </w:rPr>
        <w:t>Censo de Población y Vivienda</w:t>
      </w:r>
      <w:r w:rsidRPr="000638B9">
        <w:rPr>
          <w:rFonts w:ascii="Arial" w:hAnsi="Arial" w:cs="Arial"/>
          <w:sz w:val="20"/>
          <w:szCs w:val="20"/>
        </w:rPr>
        <w:t>. Instituto Nacional de Estadísticas y Censos</w:t>
      </w:r>
    </w:p>
    <w:p w14:paraId="7E0563AA" w14:textId="77777777" w:rsidR="00384D81" w:rsidRPr="000638B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>Ley de Gestión Ambiental del Ecuador. Ley Nro.99-37, 38. Registro Oficial No. 245 14. 30 de julio de 1999.</w:t>
      </w:r>
    </w:p>
    <w:p w14:paraId="2FCD73F5" w14:textId="062F0591" w:rsidR="00384D81" w:rsidRPr="000638B9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380">
        <w:rPr>
          <w:rFonts w:ascii="Arial" w:hAnsi="Arial" w:cs="Arial"/>
          <w:sz w:val="20"/>
          <w:szCs w:val="20"/>
          <w:lang w:val="es-EC"/>
        </w:rPr>
        <w:t xml:space="preserve">Meyer, S. T., </w:t>
      </w:r>
      <w:proofErr w:type="spellStart"/>
      <w:r w:rsidRPr="00971380">
        <w:rPr>
          <w:rFonts w:ascii="Arial" w:hAnsi="Arial" w:cs="Arial"/>
          <w:sz w:val="20"/>
          <w:szCs w:val="20"/>
          <w:lang w:val="es-EC"/>
        </w:rPr>
        <w:t>Heuss</w:t>
      </w:r>
      <w:proofErr w:type="spellEnd"/>
      <w:r w:rsidRPr="00971380">
        <w:rPr>
          <w:rFonts w:ascii="Arial" w:hAnsi="Arial" w:cs="Arial"/>
          <w:sz w:val="20"/>
          <w:szCs w:val="20"/>
          <w:lang w:val="es-EC"/>
        </w:rPr>
        <w:t xml:space="preserve">, L., </w:t>
      </w:r>
      <w:proofErr w:type="spellStart"/>
      <w:r w:rsidRPr="00971380">
        <w:rPr>
          <w:rFonts w:ascii="Arial" w:hAnsi="Arial" w:cs="Arial"/>
          <w:sz w:val="20"/>
          <w:szCs w:val="20"/>
          <w:lang w:val="es-EC"/>
        </w:rPr>
        <w:t>Feldhaar</w:t>
      </w:r>
      <w:proofErr w:type="spellEnd"/>
      <w:r w:rsidRPr="00971380">
        <w:rPr>
          <w:rFonts w:ascii="Arial" w:hAnsi="Arial" w:cs="Arial"/>
          <w:sz w:val="20"/>
          <w:szCs w:val="20"/>
          <w:lang w:val="es-EC"/>
        </w:rPr>
        <w:t xml:space="preserve">, H., </w:t>
      </w:r>
      <w:proofErr w:type="spellStart"/>
      <w:r w:rsidRPr="00971380">
        <w:rPr>
          <w:rFonts w:ascii="Arial" w:hAnsi="Arial" w:cs="Arial"/>
          <w:sz w:val="20"/>
          <w:szCs w:val="20"/>
          <w:lang w:val="es-EC"/>
        </w:rPr>
        <w:t>Weisser</w:t>
      </w:r>
      <w:proofErr w:type="spellEnd"/>
      <w:r w:rsidRPr="00971380">
        <w:rPr>
          <w:rFonts w:ascii="Arial" w:hAnsi="Arial" w:cs="Arial"/>
          <w:sz w:val="20"/>
          <w:szCs w:val="20"/>
          <w:lang w:val="es-EC"/>
        </w:rPr>
        <w:t xml:space="preserve">, W. W., </w:t>
      </w:r>
      <w:r w:rsidR="00CF04F4" w:rsidRPr="00971380">
        <w:rPr>
          <w:rFonts w:ascii="Arial" w:hAnsi="Arial" w:cs="Arial"/>
          <w:sz w:val="20"/>
          <w:szCs w:val="20"/>
          <w:lang w:val="es-EC"/>
        </w:rPr>
        <w:t>y</w:t>
      </w:r>
      <w:r w:rsidRPr="00971380">
        <w:rPr>
          <w:rFonts w:ascii="Arial" w:hAnsi="Arial" w:cs="Arial"/>
          <w:sz w:val="20"/>
          <w:szCs w:val="20"/>
          <w:lang w:val="es-EC"/>
        </w:rPr>
        <w:t xml:space="preserve"> </w:t>
      </w:r>
      <w:proofErr w:type="spellStart"/>
      <w:r w:rsidRPr="00971380">
        <w:rPr>
          <w:rFonts w:ascii="Arial" w:hAnsi="Arial" w:cs="Arial"/>
          <w:sz w:val="20"/>
          <w:szCs w:val="20"/>
          <w:lang w:val="es-EC"/>
        </w:rPr>
        <w:t>Gossner</w:t>
      </w:r>
      <w:proofErr w:type="spellEnd"/>
      <w:r w:rsidRPr="00971380">
        <w:rPr>
          <w:rFonts w:ascii="Arial" w:hAnsi="Arial" w:cs="Arial"/>
          <w:sz w:val="20"/>
          <w:szCs w:val="20"/>
          <w:lang w:val="es-EC"/>
        </w:rPr>
        <w:t xml:space="preserve">, M. M. (2019). </w:t>
      </w:r>
      <w:r w:rsidRPr="000638B9">
        <w:rPr>
          <w:rFonts w:ascii="Arial" w:hAnsi="Arial" w:cs="Arial"/>
          <w:sz w:val="20"/>
          <w:szCs w:val="20"/>
          <w:lang w:val="en-US"/>
        </w:rPr>
        <w:t>Land-use components, abundance of predatory arthropods, and vegetation height affect predation rates in grasslands. 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Agriculture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,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Ecosystems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r w:rsidR="00CF04F4">
        <w:rPr>
          <w:rStyle w:val="nfasis"/>
          <w:rFonts w:ascii="Arial" w:hAnsi="Arial" w:cs="Arial"/>
          <w:sz w:val="20"/>
          <w:szCs w:val="20"/>
        </w:rPr>
        <w:t>y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Environment</w:t>
      </w:r>
      <w:proofErr w:type="spellEnd"/>
      <w:r w:rsidRPr="000638B9">
        <w:rPr>
          <w:rFonts w:ascii="Arial" w:hAnsi="Arial" w:cs="Arial"/>
          <w:sz w:val="20"/>
          <w:szCs w:val="20"/>
        </w:rPr>
        <w:t>, </w:t>
      </w:r>
      <w:r w:rsidRPr="000638B9">
        <w:rPr>
          <w:rStyle w:val="nfasis"/>
          <w:rFonts w:ascii="Arial" w:hAnsi="Arial" w:cs="Arial"/>
          <w:sz w:val="20"/>
          <w:szCs w:val="20"/>
        </w:rPr>
        <w:t>270</w:t>
      </w:r>
      <w:r w:rsidRPr="000638B9">
        <w:rPr>
          <w:rFonts w:ascii="Arial" w:hAnsi="Arial" w:cs="Arial"/>
          <w:sz w:val="20"/>
          <w:szCs w:val="20"/>
        </w:rPr>
        <w:t>–</w:t>
      </w:r>
      <w:r w:rsidRPr="000638B9">
        <w:rPr>
          <w:rStyle w:val="nfasis"/>
          <w:rFonts w:ascii="Arial" w:hAnsi="Arial" w:cs="Arial"/>
          <w:sz w:val="20"/>
          <w:szCs w:val="20"/>
        </w:rPr>
        <w:t>271</w:t>
      </w:r>
      <w:r w:rsidRPr="000638B9">
        <w:rPr>
          <w:rFonts w:ascii="Arial" w:hAnsi="Arial" w:cs="Arial"/>
          <w:sz w:val="20"/>
          <w:szCs w:val="20"/>
        </w:rPr>
        <w:t xml:space="preserve">, 84–92. </w:t>
      </w:r>
      <w:hyperlink r:id="rId22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https://doi.org/10.1016/j.agee.2018.10.015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77E659F0" w14:textId="77777777" w:rsidR="00384D81" w:rsidRPr="00E0364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</w:rPr>
        <w:t xml:space="preserve">Ministerio de Agricultura y Ganadería. (2018). Redes Comerciales.  </w:t>
      </w:r>
      <w:hyperlink r:id="rId23" w:history="1">
        <w:r w:rsidRPr="00E03649">
          <w:rPr>
            <w:rStyle w:val="Hipervnculo"/>
            <w:rFonts w:ascii="Arial" w:hAnsi="Arial" w:cs="Arial"/>
            <w:sz w:val="20"/>
            <w:szCs w:val="20"/>
            <w:lang w:val="es-EC"/>
          </w:rPr>
          <w:t>https://www.agricultura.gob.ec/redes-comerciales/</w:t>
        </w:r>
      </w:hyperlink>
      <w:r w:rsidRPr="00E03649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B154785" w14:textId="600E9221" w:rsidR="00384D81" w:rsidRPr="00E03649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r w:rsidRPr="000638B9">
        <w:rPr>
          <w:rFonts w:ascii="Arial" w:hAnsi="Arial" w:cs="Arial"/>
          <w:sz w:val="20"/>
          <w:szCs w:val="20"/>
          <w:lang w:val="en-US"/>
        </w:rPr>
        <w:lastRenderedPageBreak/>
        <w:t xml:space="preserve">O’Bryan, C. A., Crandall, P. G., </w:t>
      </w:r>
      <w:r w:rsidR="00CF04F4">
        <w:rPr>
          <w:rFonts w:ascii="Arial" w:hAnsi="Arial" w:cs="Arial"/>
          <w:sz w:val="20"/>
          <w:szCs w:val="20"/>
          <w:lang w:val="en-US"/>
        </w:rPr>
        <w:t>y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Ricke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>, S. C. (2017). Antimicrobial Resistance in Foodborne Pathogens. In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 (pp. 99–115). Cambridge, Massachusetts, </w:t>
      </w:r>
      <w:proofErr w:type="spellStart"/>
      <w:r w:rsidRPr="000638B9">
        <w:rPr>
          <w:rFonts w:ascii="Arial" w:hAnsi="Arial" w:cs="Arial"/>
          <w:sz w:val="20"/>
          <w:szCs w:val="20"/>
          <w:lang w:val="en-US"/>
        </w:rPr>
        <w:t>Estados</w:t>
      </w:r>
      <w:proofErr w:type="spellEnd"/>
      <w:r w:rsidRPr="000638B9">
        <w:rPr>
          <w:rFonts w:ascii="Arial" w:hAnsi="Arial" w:cs="Arial"/>
          <w:sz w:val="20"/>
          <w:szCs w:val="20"/>
          <w:lang w:val="en-US"/>
        </w:rPr>
        <w:t xml:space="preserve"> Unidos: Academic Press Books - Elsevier. </w:t>
      </w:r>
      <w:hyperlink r:id="rId24" w:history="1">
        <w:r w:rsidRPr="00E03649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https://doi.org/10.1016/B978-0-12-811835-1.00006-3</w:t>
        </w:r>
      </w:hyperlink>
      <w:r w:rsidRPr="00E03649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5A65928E" w14:textId="3016F6A7" w:rsidR="00384D81" w:rsidRPr="000638B9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Orgaz-Agüera, F.,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Cañero Morales, P. (2017). Ecoturismo y desarrollo sostenible. Un estudio de caso en comunidades rurales de República Dominicana. </w:t>
      </w:r>
      <w:r w:rsidRPr="000638B9">
        <w:rPr>
          <w:rStyle w:val="italica"/>
          <w:rFonts w:ascii="Arial" w:hAnsi="Arial" w:cs="Arial"/>
          <w:i/>
          <w:iCs/>
          <w:sz w:val="20"/>
          <w:szCs w:val="20"/>
        </w:rPr>
        <w:t>PASOS Revista de Turismo y Patrimonio Cultural</w:t>
      </w:r>
      <w:r w:rsidRPr="000638B9">
        <w:rPr>
          <w:rStyle w:val="nfasis"/>
          <w:rFonts w:ascii="Arial" w:hAnsi="Arial" w:cs="Arial"/>
          <w:sz w:val="20"/>
          <w:szCs w:val="20"/>
        </w:rPr>
        <w:t>, 13</w:t>
      </w:r>
      <w:r w:rsidRPr="000638B9">
        <w:rPr>
          <w:rFonts w:ascii="Arial" w:hAnsi="Arial" w:cs="Arial"/>
          <w:sz w:val="20"/>
          <w:szCs w:val="20"/>
        </w:rPr>
        <w:t xml:space="preserve">(6), 1425-1435. </w:t>
      </w:r>
      <w:hyperlink r:id="rId25" w:history="1">
        <w:r w:rsidRPr="000638B9">
          <w:rPr>
            <w:rStyle w:val="Hipervnculo"/>
            <w:rFonts w:ascii="Arial" w:hAnsi="Arial" w:cs="Arial"/>
            <w:sz w:val="20"/>
            <w:szCs w:val="20"/>
          </w:rPr>
          <w:t>https://doi.org/10.25145/j.pasos.2015.13.099</w:t>
        </w:r>
      </w:hyperlink>
      <w:r w:rsidRPr="000638B9">
        <w:rPr>
          <w:rFonts w:ascii="Arial" w:hAnsi="Arial" w:cs="Arial"/>
          <w:sz w:val="20"/>
          <w:szCs w:val="20"/>
        </w:rPr>
        <w:t xml:space="preserve"> </w:t>
      </w:r>
    </w:p>
    <w:p w14:paraId="05B4383E" w14:textId="57858A5D" w:rsidR="00384D81" w:rsidRPr="000638B9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Prado, O., Morales, E.,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Macedo, R. (2010). Factores de riesgo relacionados con tiempo de retiro de agua y alimento, captura, transporte y espera sobre la mortalidad de pollos</w:t>
      </w:r>
      <w:r w:rsidRPr="000638B9">
        <w:rPr>
          <w:rStyle w:val="italica"/>
          <w:rFonts w:ascii="Arial" w:hAnsi="Arial" w:cs="Arial"/>
          <w:sz w:val="20"/>
          <w:szCs w:val="20"/>
        </w:rPr>
        <w:t>. En </w:t>
      </w:r>
      <w:r w:rsidRPr="000638B9">
        <w:rPr>
          <w:rStyle w:val="nfasis"/>
          <w:rFonts w:ascii="Arial" w:hAnsi="Arial" w:cs="Arial"/>
          <w:sz w:val="20"/>
          <w:szCs w:val="20"/>
        </w:rPr>
        <w:t>Memorias de la Tercera Reunión Anual de la Asociación de Especialistas en Ciencias Avícolas del Centro de México A.C.</w:t>
      </w:r>
      <w:r w:rsidRPr="000638B9">
        <w:rPr>
          <w:rStyle w:val="italica"/>
          <w:rFonts w:ascii="Arial" w:hAnsi="Arial" w:cs="Arial"/>
          <w:sz w:val="20"/>
          <w:szCs w:val="20"/>
        </w:rPr>
        <w:t> </w:t>
      </w:r>
      <w:r w:rsidRPr="000638B9">
        <w:rPr>
          <w:rFonts w:ascii="Arial" w:hAnsi="Arial" w:cs="Arial"/>
          <w:sz w:val="20"/>
          <w:szCs w:val="20"/>
        </w:rPr>
        <w:t>(pp. 86-92). Asociación de Especialistas en Ciencias Avícolas del Centro de México A.C.</w:t>
      </w:r>
    </w:p>
    <w:p w14:paraId="6DDE5027" w14:textId="31DBB186" w:rsidR="00384D81" w:rsidRPr="00E03649" w:rsidRDefault="00384D81" w:rsidP="00BF68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s-EC"/>
        </w:rPr>
      </w:pPr>
      <w:proofErr w:type="spellStart"/>
      <w:r w:rsidRPr="00CF04F4">
        <w:rPr>
          <w:rFonts w:ascii="Arial" w:hAnsi="Arial" w:cs="Arial"/>
          <w:sz w:val="20"/>
          <w:szCs w:val="20"/>
          <w:lang w:val="es-EC"/>
        </w:rPr>
        <w:t>Ricke</w:t>
      </w:r>
      <w:proofErr w:type="spellEnd"/>
      <w:r w:rsidRPr="00CF04F4">
        <w:rPr>
          <w:rFonts w:ascii="Arial" w:hAnsi="Arial" w:cs="Arial"/>
          <w:sz w:val="20"/>
          <w:szCs w:val="20"/>
          <w:lang w:val="es-EC"/>
        </w:rPr>
        <w:t xml:space="preserve">, S. C., </w:t>
      </w:r>
      <w:proofErr w:type="spellStart"/>
      <w:r w:rsidRPr="00CF04F4">
        <w:rPr>
          <w:rFonts w:ascii="Arial" w:hAnsi="Arial" w:cs="Arial"/>
          <w:sz w:val="20"/>
          <w:szCs w:val="20"/>
          <w:lang w:val="es-EC"/>
        </w:rPr>
        <w:t>Atungulu</w:t>
      </w:r>
      <w:proofErr w:type="spellEnd"/>
      <w:r w:rsidRPr="00CF04F4">
        <w:rPr>
          <w:rFonts w:ascii="Arial" w:hAnsi="Arial" w:cs="Arial"/>
          <w:sz w:val="20"/>
          <w:szCs w:val="20"/>
          <w:lang w:val="es-EC"/>
        </w:rPr>
        <w:t xml:space="preserve">, G. G., Si, C. E. R., </w:t>
      </w:r>
      <w:r w:rsidR="00CF04F4" w:rsidRPr="00CF04F4">
        <w:rPr>
          <w:rFonts w:ascii="Arial" w:hAnsi="Arial" w:cs="Arial"/>
          <w:sz w:val="20"/>
          <w:szCs w:val="20"/>
          <w:lang w:val="es-EC"/>
        </w:rPr>
        <w:t>y</w:t>
      </w:r>
      <w:r w:rsidRPr="00CF04F4">
        <w:rPr>
          <w:rFonts w:ascii="Arial" w:hAnsi="Arial" w:cs="Arial"/>
          <w:sz w:val="20"/>
          <w:szCs w:val="20"/>
          <w:lang w:val="es-EC"/>
        </w:rPr>
        <w:t xml:space="preserve"> Park, H. (2018).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 Edited by</w:t>
      </w:r>
      <w:r w:rsidRPr="000638B9">
        <w:rPr>
          <w:rFonts w:ascii="Arial" w:hAnsi="Arial" w:cs="Arial"/>
          <w:sz w:val="20"/>
          <w:szCs w:val="20"/>
          <w:lang w:val="en-US"/>
        </w:rPr>
        <w:t>. </w:t>
      </w:r>
      <w:r w:rsidRPr="000638B9">
        <w:rPr>
          <w:rStyle w:val="nfasis"/>
          <w:rFonts w:ascii="Arial" w:hAnsi="Arial" w:cs="Arial"/>
          <w:sz w:val="20"/>
          <w:szCs w:val="20"/>
          <w:lang w:val="en-US"/>
        </w:rPr>
        <w:t>Food and Feed Safety Systems and Analysis</w:t>
      </w:r>
      <w:r w:rsidRPr="000638B9">
        <w:rPr>
          <w:rFonts w:ascii="Arial" w:hAnsi="Arial" w:cs="Arial"/>
          <w:sz w:val="20"/>
          <w:szCs w:val="20"/>
          <w:lang w:val="en-US"/>
        </w:rPr>
        <w:t xml:space="preserve">. Academic Press Books - Elsevier. </w:t>
      </w:r>
      <w:hyperlink r:id="rId26" w:history="1">
        <w:r w:rsidRPr="00E03649">
          <w:rPr>
            <w:rStyle w:val="Hipervnculo"/>
            <w:rFonts w:ascii="Arial" w:hAnsi="Arial" w:cs="Arial"/>
            <w:sz w:val="20"/>
            <w:szCs w:val="20"/>
            <w:lang w:val="es-EC"/>
          </w:rPr>
          <w:t>https://doi.org/10.1088/0004-637X/779/1/11</w:t>
        </w:r>
      </w:hyperlink>
      <w:r w:rsidRPr="00E03649">
        <w:rPr>
          <w:rFonts w:ascii="Arial" w:hAnsi="Arial" w:cs="Arial"/>
          <w:sz w:val="20"/>
          <w:szCs w:val="20"/>
          <w:lang w:val="es-EC"/>
        </w:rPr>
        <w:t xml:space="preserve"> </w:t>
      </w:r>
    </w:p>
    <w:p w14:paraId="04B5D9C3" w14:textId="3D238B2F" w:rsidR="00384D81" w:rsidRPr="000638B9" w:rsidRDefault="00384D81" w:rsidP="00E712C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8B9">
        <w:rPr>
          <w:rFonts w:ascii="Arial" w:hAnsi="Arial" w:cs="Arial"/>
          <w:sz w:val="20"/>
          <w:szCs w:val="20"/>
        </w:rPr>
        <w:t xml:space="preserve">Rojas </w:t>
      </w:r>
      <w:proofErr w:type="spellStart"/>
      <w:r w:rsidRPr="000638B9">
        <w:rPr>
          <w:rFonts w:ascii="Arial" w:hAnsi="Arial" w:cs="Arial"/>
          <w:sz w:val="20"/>
          <w:szCs w:val="20"/>
        </w:rPr>
        <w:t>Landacay</w:t>
      </w:r>
      <w:proofErr w:type="spellEnd"/>
      <w:r w:rsidRPr="000638B9">
        <w:rPr>
          <w:rFonts w:ascii="Arial" w:hAnsi="Arial" w:cs="Arial"/>
          <w:sz w:val="20"/>
          <w:szCs w:val="20"/>
        </w:rPr>
        <w:t xml:space="preserve">, D. E., </w:t>
      </w:r>
      <w:r w:rsidR="00CF04F4">
        <w:rPr>
          <w:rFonts w:ascii="Arial" w:hAnsi="Arial" w:cs="Arial"/>
          <w:sz w:val="20"/>
          <w:szCs w:val="20"/>
        </w:rPr>
        <w:t>y</w:t>
      </w:r>
      <w:r w:rsidRPr="000638B9">
        <w:rPr>
          <w:rFonts w:ascii="Arial" w:hAnsi="Arial" w:cs="Arial"/>
          <w:sz w:val="20"/>
          <w:szCs w:val="20"/>
        </w:rPr>
        <w:t xml:space="preserve"> González, C. de L. Á. (2011). </w:t>
      </w:r>
      <w:r w:rsidRPr="000638B9">
        <w:rPr>
          <w:rStyle w:val="nfasis"/>
          <w:rFonts w:ascii="Arial" w:hAnsi="Arial" w:cs="Arial"/>
          <w:sz w:val="20"/>
          <w:szCs w:val="20"/>
        </w:rPr>
        <w:t xml:space="preserve">Propuesta de adecuación y señalización del sendero turístico </w:t>
      </w:r>
      <w:proofErr w:type="spellStart"/>
      <w:r w:rsidRPr="000638B9">
        <w:rPr>
          <w:rStyle w:val="nfasis"/>
          <w:rFonts w:ascii="Arial" w:hAnsi="Arial" w:cs="Arial"/>
          <w:sz w:val="20"/>
          <w:szCs w:val="20"/>
        </w:rPr>
        <w:t>intervalles</w:t>
      </w:r>
      <w:proofErr w:type="spellEnd"/>
      <w:r w:rsidRPr="000638B9">
        <w:rPr>
          <w:rStyle w:val="nfasis"/>
          <w:rFonts w:ascii="Arial" w:hAnsi="Arial" w:cs="Arial"/>
          <w:sz w:val="20"/>
          <w:szCs w:val="20"/>
        </w:rPr>
        <w:t xml:space="preserve"> de las parroquias surorientales de Malacatos, San Pedro de Vilcabamba y Vilcabamba del cantón Loja, provincia de Loja</w:t>
      </w:r>
      <w:r w:rsidRPr="000638B9">
        <w:rPr>
          <w:rFonts w:ascii="Arial" w:hAnsi="Arial" w:cs="Arial"/>
          <w:sz w:val="20"/>
          <w:szCs w:val="20"/>
        </w:rPr>
        <w:t>. Universidad Técnica Particular de Loja.</w:t>
      </w:r>
    </w:p>
    <w:sectPr w:rsidR="00384D81" w:rsidRPr="000638B9" w:rsidSect="006666D5">
      <w:footerReference w:type="default" r:id="rId27"/>
      <w:pgSz w:w="12240" w:h="15840"/>
      <w:pgMar w:top="1417" w:right="1701" w:bottom="1417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0003" w14:textId="77777777" w:rsidR="000E64BA" w:rsidRDefault="000E64BA" w:rsidP="00030DDB">
      <w:pPr>
        <w:spacing w:after="0" w:line="240" w:lineRule="auto"/>
      </w:pPr>
      <w:r>
        <w:separator/>
      </w:r>
    </w:p>
  </w:endnote>
  <w:endnote w:type="continuationSeparator" w:id="0">
    <w:p w14:paraId="28E57368" w14:textId="77777777" w:rsidR="000E64BA" w:rsidRDefault="000E64BA" w:rsidP="0003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5500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212320" w14:textId="3A052D40" w:rsidR="00030DDB" w:rsidRPr="00030DDB" w:rsidRDefault="00030DDB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30DDB">
          <w:rPr>
            <w:rFonts w:ascii="Arial" w:hAnsi="Arial" w:cs="Arial"/>
            <w:sz w:val="20"/>
            <w:szCs w:val="20"/>
          </w:rPr>
          <w:fldChar w:fldCharType="begin"/>
        </w:r>
        <w:r w:rsidRPr="00030DDB">
          <w:rPr>
            <w:rFonts w:ascii="Arial" w:hAnsi="Arial" w:cs="Arial"/>
            <w:sz w:val="20"/>
            <w:szCs w:val="20"/>
          </w:rPr>
          <w:instrText>PAGE   \* MERGEFORMAT</w:instrText>
        </w:r>
        <w:r w:rsidRPr="00030DDB">
          <w:rPr>
            <w:rFonts w:ascii="Arial" w:hAnsi="Arial" w:cs="Arial"/>
            <w:sz w:val="20"/>
            <w:szCs w:val="20"/>
          </w:rPr>
          <w:fldChar w:fldCharType="separate"/>
        </w:r>
        <w:r w:rsidRPr="00030DDB">
          <w:rPr>
            <w:rFonts w:ascii="Arial" w:hAnsi="Arial" w:cs="Arial"/>
            <w:sz w:val="20"/>
            <w:szCs w:val="20"/>
            <w:lang w:val="es-ES"/>
          </w:rPr>
          <w:t>2</w:t>
        </w:r>
        <w:r w:rsidRPr="00030DD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87FC0F2" w14:textId="77777777" w:rsidR="00030DDB" w:rsidRDefault="00030D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CA30" w14:textId="77777777" w:rsidR="000E64BA" w:rsidRDefault="000E64BA" w:rsidP="00030DDB">
      <w:pPr>
        <w:spacing w:after="0" w:line="240" w:lineRule="auto"/>
      </w:pPr>
      <w:r>
        <w:separator/>
      </w:r>
    </w:p>
  </w:footnote>
  <w:footnote w:type="continuationSeparator" w:id="0">
    <w:p w14:paraId="5EDB454C" w14:textId="77777777" w:rsidR="000E64BA" w:rsidRDefault="000E64BA" w:rsidP="0003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325"/>
    <w:multiLevelType w:val="multilevel"/>
    <w:tmpl w:val="B6462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22FE6"/>
    <w:multiLevelType w:val="hybridMultilevel"/>
    <w:tmpl w:val="6C0C92B2"/>
    <w:lvl w:ilvl="0" w:tplc="5510D9BE">
      <w:start w:val="1"/>
      <w:numFmt w:val="decimal"/>
      <w:lvlText w:val="%1."/>
      <w:lvlJc w:val="left"/>
      <w:pPr>
        <w:ind w:left="720" w:hanging="360"/>
      </w:pPr>
    </w:lvl>
    <w:lvl w:ilvl="1" w:tplc="E3060C3C">
      <w:start w:val="1"/>
      <w:numFmt w:val="lowerLetter"/>
      <w:lvlText w:val="%2."/>
      <w:lvlJc w:val="left"/>
      <w:pPr>
        <w:ind w:left="1440" w:hanging="360"/>
      </w:pPr>
    </w:lvl>
    <w:lvl w:ilvl="2" w:tplc="C7ACBA92">
      <w:start w:val="1"/>
      <w:numFmt w:val="lowerRoman"/>
      <w:lvlText w:val="%3."/>
      <w:lvlJc w:val="right"/>
      <w:pPr>
        <w:ind w:left="2160" w:hanging="180"/>
      </w:pPr>
    </w:lvl>
    <w:lvl w:ilvl="3" w:tplc="27624652">
      <w:start w:val="1"/>
      <w:numFmt w:val="decimal"/>
      <w:lvlText w:val="%4."/>
      <w:lvlJc w:val="left"/>
      <w:pPr>
        <w:ind w:left="2880" w:hanging="360"/>
      </w:pPr>
    </w:lvl>
    <w:lvl w:ilvl="4" w:tplc="04C8C694">
      <w:start w:val="1"/>
      <w:numFmt w:val="lowerLetter"/>
      <w:lvlText w:val="%5."/>
      <w:lvlJc w:val="left"/>
      <w:pPr>
        <w:ind w:left="3600" w:hanging="360"/>
      </w:pPr>
    </w:lvl>
    <w:lvl w:ilvl="5" w:tplc="CFBACC76">
      <w:start w:val="1"/>
      <w:numFmt w:val="lowerRoman"/>
      <w:lvlText w:val="%6."/>
      <w:lvlJc w:val="right"/>
      <w:pPr>
        <w:ind w:left="4320" w:hanging="180"/>
      </w:pPr>
    </w:lvl>
    <w:lvl w:ilvl="6" w:tplc="83A6EF3C">
      <w:start w:val="1"/>
      <w:numFmt w:val="decimal"/>
      <w:lvlText w:val="%7."/>
      <w:lvlJc w:val="left"/>
      <w:pPr>
        <w:ind w:left="5040" w:hanging="360"/>
      </w:pPr>
    </w:lvl>
    <w:lvl w:ilvl="7" w:tplc="562C2666">
      <w:start w:val="1"/>
      <w:numFmt w:val="lowerLetter"/>
      <w:lvlText w:val="%8."/>
      <w:lvlJc w:val="left"/>
      <w:pPr>
        <w:ind w:left="5760" w:hanging="360"/>
      </w:pPr>
    </w:lvl>
    <w:lvl w:ilvl="8" w:tplc="84808F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4711"/>
    <w:multiLevelType w:val="hybridMultilevel"/>
    <w:tmpl w:val="51C0C92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06F6"/>
    <w:multiLevelType w:val="multilevel"/>
    <w:tmpl w:val="778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62247"/>
    <w:multiLevelType w:val="multilevel"/>
    <w:tmpl w:val="593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6233E"/>
    <w:multiLevelType w:val="multilevel"/>
    <w:tmpl w:val="57B66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D0B1F"/>
    <w:multiLevelType w:val="multilevel"/>
    <w:tmpl w:val="CB26F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91E59"/>
    <w:multiLevelType w:val="multilevel"/>
    <w:tmpl w:val="FC7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45CDC"/>
    <w:multiLevelType w:val="hybridMultilevel"/>
    <w:tmpl w:val="4D8C48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517D"/>
    <w:multiLevelType w:val="hybridMultilevel"/>
    <w:tmpl w:val="3D9E3C9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0CD7"/>
    <w:multiLevelType w:val="multilevel"/>
    <w:tmpl w:val="A82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63493"/>
    <w:multiLevelType w:val="multilevel"/>
    <w:tmpl w:val="0B6C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color w:val="000000"/>
      </w:rPr>
    </w:lvl>
  </w:abstractNum>
  <w:abstractNum w:abstractNumId="12" w15:restartNumberingAfterBreak="0">
    <w:nsid w:val="5D37640E"/>
    <w:multiLevelType w:val="multilevel"/>
    <w:tmpl w:val="8F7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148FC"/>
    <w:multiLevelType w:val="multilevel"/>
    <w:tmpl w:val="7A5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37EEF"/>
    <w:multiLevelType w:val="multilevel"/>
    <w:tmpl w:val="F6522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12AAF"/>
    <w:multiLevelType w:val="multilevel"/>
    <w:tmpl w:val="62F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32A50"/>
    <w:multiLevelType w:val="hybridMultilevel"/>
    <w:tmpl w:val="541C0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B7256"/>
    <w:multiLevelType w:val="hybridMultilevel"/>
    <w:tmpl w:val="350463FC"/>
    <w:lvl w:ilvl="0" w:tplc="5442E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10FB"/>
    <w:multiLevelType w:val="multilevel"/>
    <w:tmpl w:val="1B4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938D2"/>
    <w:multiLevelType w:val="multilevel"/>
    <w:tmpl w:val="2C6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70B26"/>
    <w:multiLevelType w:val="multilevel"/>
    <w:tmpl w:val="A170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408698">
    <w:abstractNumId w:val="1"/>
  </w:num>
  <w:num w:numId="2" w16cid:durableId="395206699">
    <w:abstractNumId w:val="2"/>
  </w:num>
  <w:num w:numId="3" w16cid:durableId="489519226">
    <w:abstractNumId w:val="11"/>
  </w:num>
  <w:num w:numId="4" w16cid:durableId="149250344">
    <w:abstractNumId w:val="16"/>
  </w:num>
  <w:num w:numId="5" w16cid:durableId="953747828">
    <w:abstractNumId w:val="9"/>
  </w:num>
  <w:num w:numId="6" w16cid:durableId="1020933136">
    <w:abstractNumId w:val="18"/>
  </w:num>
  <w:num w:numId="7" w16cid:durableId="2085686483">
    <w:abstractNumId w:val="15"/>
  </w:num>
  <w:num w:numId="8" w16cid:durableId="707488109">
    <w:abstractNumId w:val="3"/>
  </w:num>
  <w:num w:numId="9" w16cid:durableId="129830538">
    <w:abstractNumId w:val="10"/>
  </w:num>
  <w:num w:numId="10" w16cid:durableId="1817333064">
    <w:abstractNumId w:val="5"/>
  </w:num>
  <w:num w:numId="11" w16cid:durableId="2092964112">
    <w:abstractNumId w:val="13"/>
  </w:num>
  <w:num w:numId="12" w16cid:durableId="1235119328">
    <w:abstractNumId w:val="6"/>
  </w:num>
  <w:num w:numId="13" w16cid:durableId="121197069">
    <w:abstractNumId w:val="4"/>
  </w:num>
  <w:num w:numId="14" w16cid:durableId="1322200794">
    <w:abstractNumId w:val="0"/>
  </w:num>
  <w:num w:numId="15" w16cid:durableId="1782912573">
    <w:abstractNumId w:val="19"/>
  </w:num>
  <w:num w:numId="16" w16cid:durableId="1900551610">
    <w:abstractNumId w:val="14"/>
  </w:num>
  <w:num w:numId="17" w16cid:durableId="896476164">
    <w:abstractNumId w:val="20"/>
  </w:num>
  <w:num w:numId="18" w16cid:durableId="586697701">
    <w:abstractNumId w:val="7"/>
  </w:num>
  <w:num w:numId="19" w16cid:durableId="282810299">
    <w:abstractNumId w:val="12"/>
  </w:num>
  <w:num w:numId="20" w16cid:durableId="581186967">
    <w:abstractNumId w:val="8"/>
  </w:num>
  <w:num w:numId="21" w16cid:durableId="19580266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D"/>
    <w:rsid w:val="00030DDB"/>
    <w:rsid w:val="0006380E"/>
    <w:rsid w:val="000638B9"/>
    <w:rsid w:val="000E64BA"/>
    <w:rsid w:val="00110664"/>
    <w:rsid w:val="001702E4"/>
    <w:rsid w:val="001A1BF1"/>
    <w:rsid w:val="00227FED"/>
    <w:rsid w:val="002A4ADF"/>
    <w:rsid w:val="00341B84"/>
    <w:rsid w:val="0037179F"/>
    <w:rsid w:val="00384D81"/>
    <w:rsid w:val="00385A71"/>
    <w:rsid w:val="005D06C1"/>
    <w:rsid w:val="0064546B"/>
    <w:rsid w:val="006666D5"/>
    <w:rsid w:val="00687DDB"/>
    <w:rsid w:val="007965DB"/>
    <w:rsid w:val="007B5499"/>
    <w:rsid w:val="0086159D"/>
    <w:rsid w:val="008721DB"/>
    <w:rsid w:val="00886A40"/>
    <w:rsid w:val="008D2FBB"/>
    <w:rsid w:val="00971380"/>
    <w:rsid w:val="009B7764"/>
    <w:rsid w:val="00AE2F07"/>
    <w:rsid w:val="00B06C97"/>
    <w:rsid w:val="00B30DB2"/>
    <w:rsid w:val="00BF6860"/>
    <w:rsid w:val="00C05B3A"/>
    <w:rsid w:val="00C50F47"/>
    <w:rsid w:val="00CF04F4"/>
    <w:rsid w:val="00DE42B1"/>
    <w:rsid w:val="00E03649"/>
    <w:rsid w:val="00E667E9"/>
    <w:rsid w:val="00E712C9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263D"/>
  <w15:chartTrackingRefBased/>
  <w15:docId w15:val="{DC99A7F6-7245-4075-9354-04850C5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ED"/>
    <w:rPr>
      <w:lang w:val="es-US"/>
    </w:rPr>
  </w:style>
  <w:style w:type="paragraph" w:styleId="Ttulo1">
    <w:name w:val="heading 1"/>
    <w:basedOn w:val="Normal"/>
    <w:next w:val="Normal"/>
    <w:link w:val="Ttulo1Car"/>
    <w:uiPriority w:val="9"/>
    <w:qFormat/>
    <w:rsid w:val="00227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7FE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FED"/>
    <w:pPr>
      <w:keepNext/>
      <w:spacing w:after="0" w:line="240" w:lineRule="auto"/>
      <w:jc w:val="center"/>
      <w:outlineLvl w:val="7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F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  <w:style w:type="character" w:customStyle="1" w:styleId="Ttulo7Car">
    <w:name w:val="Título 7 Car"/>
    <w:basedOn w:val="Fuentedeprrafopredeter"/>
    <w:link w:val="Ttulo7"/>
    <w:uiPriority w:val="9"/>
    <w:rsid w:val="00227FE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227FED"/>
    <w:rPr>
      <w:b/>
      <w:bCs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227FED"/>
  </w:style>
  <w:style w:type="character" w:styleId="Textoennegrita">
    <w:name w:val="Strong"/>
    <w:basedOn w:val="Fuentedeprrafopredeter"/>
    <w:uiPriority w:val="22"/>
    <w:qFormat/>
    <w:rsid w:val="00227FE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7FED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27FED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ED"/>
    <w:rPr>
      <w:rFonts w:ascii="Segoe UI" w:hAnsi="Segoe UI" w:cs="Segoe UI"/>
      <w:sz w:val="18"/>
      <w:szCs w:val="18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F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27F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FED"/>
    <w:pPr>
      <w:ind w:left="720"/>
      <w:contextualSpacing/>
    </w:pPr>
  </w:style>
  <w:style w:type="character" w:customStyle="1" w:styleId="normaltextrun">
    <w:name w:val="normaltextrun"/>
    <w:basedOn w:val="Fuentedeprrafopredeter"/>
    <w:rsid w:val="00227FED"/>
  </w:style>
  <w:style w:type="character" w:customStyle="1" w:styleId="eop">
    <w:name w:val="eop"/>
    <w:basedOn w:val="Fuentedeprrafopredeter"/>
    <w:rsid w:val="00227FE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FED"/>
    <w:rPr>
      <w:sz w:val="20"/>
      <w:szCs w:val="20"/>
      <w:lang w:val="es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FED"/>
    <w:rPr>
      <w:b/>
      <w:bCs/>
      <w:sz w:val="20"/>
      <w:szCs w:val="20"/>
      <w:lang w:val="es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2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FED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22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FED"/>
    <w:rPr>
      <w:lang w:val="es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show">
    <w:name w:val="show"/>
    <w:basedOn w:val="Normal"/>
    <w:rsid w:val="00A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italica">
    <w:name w:val="italica"/>
    <w:basedOn w:val="Fuentedeprrafopredeter"/>
    <w:rsid w:val="002A4ADF"/>
  </w:style>
  <w:style w:type="paragraph" w:customStyle="1" w:styleId="bibliografia">
    <w:name w:val="bibliografia"/>
    <w:basedOn w:val="Normal"/>
    <w:rsid w:val="002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8D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0004-637X/779/1/11" TargetMode="External"/><Relationship Id="rId13" Type="http://schemas.openxmlformats.org/officeDocument/2006/relationships/hyperlink" Target="https://doi.org/10.25145/j.pasos.2015.13.099" TargetMode="External"/><Relationship Id="rId18" Type="http://schemas.openxmlformats.org/officeDocument/2006/relationships/hyperlink" Target="https://es.statista.com/estadisticas/1173450/paises-mayor-cantidad-usuarios-facebook-america-latina/" TargetMode="External"/><Relationship Id="rId26" Type="http://schemas.openxmlformats.org/officeDocument/2006/relationships/hyperlink" Target="https://doi.org/10.1088/0004-637X/779/1/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comercio.com/actualidad/hoteles-ecuador-cerrados-pandemia-coronaviru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umed.net/rev/turydes/26/marketing-turistico-manta.html" TargetMode="External"/><Relationship Id="rId17" Type="http://schemas.openxmlformats.org/officeDocument/2006/relationships/hyperlink" Target="https://www.agricultura.gob.ec/redes-comerciales/" TargetMode="External"/><Relationship Id="rId25" Type="http://schemas.openxmlformats.org/officeDocument/2006/relationships/hyperlink" Target="https://doi.org/10.25145/j.pasos.2015.13.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f.gob.mx/nota_detalle.php?codigo=5286505&amp;fecha=01/02/2013" TargetMode="External"/><Relationship Id="rId20" Type="http://schemas.openxmlformats.org/officeDocument/2006/relationships/hyperlink" Target="https://www.elcomercio.com/actualidad/hoteles-ecuador-cerrados-pandemia-coronaviru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gee.2018.10.015" TargetMode="External"/><Relationship Id="rId24" Type="http://schemas.openxmlformats.org/officeDocument/2006/relationships/hyperlink" Target="https://doi.org/10.1016/B978-0-12-811835-1.00006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8111/9789284411894" TargetMode="External"/><Relationship Id="rId23" Type="http://schemas.openxmlformats.org/officeDocument/2006/relationships/hyperlink" Target="https://www.agricultura.gob.ec/redes-comercial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16/B978-0-7506-7968-8.00001-6" TargetMode="External"/><Relationship Id="rId19" Type="http://schemas.openxmlformats.org/officeDocument/2006/relationships/hyperlink" Target="https://www.bbc.com/mundo/noticias-49634612https://www.bbc.com/mundo/noticias-49634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B978-0-12-811835-1.00006-3" TargetMode="External"/><Relationship Id="rId14" Type="http://schemas.openxmlformats.org/officeDocument/2006/relationships/hyperlink" Target="https://doi.org/10.1016/j.foodchem.2013.12.106" TargetMode="External"/><Relationship Id="rId22" Type="http://schemas.openxmlformats.org/officeDocument/2006/relationships/hyperlink" Target="https://doi.org/10.1016/j.agee.2018.10.01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2427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Lastra</dc:creator>
  <cp:keywords/>
  <dc:description/>
  <cp:lastModifiedBy>XAVIER BOLIVAR LASTRA BRAVO</cp:lastModifiedBy>
  <cp:revision>27</cp:revision>
  <dcterms:created xsi:type="dcterms:W3CDTF">2021-05-19T16:18:00Z</dcterms:created>
  <dcterms:modified xsi:type="dcterms:W3CDTF">2022-12-08T23:23:00Z</dcterms:modified>
</cp:coreProperties>
</file>